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D2BB36" w14:textId="77777777" w:rsidR="000F7633" w:rsidRDefault="000F7633" w:rsidP="000F7633">
      <w:pPr>
        <w:rPr>
          <w:b/>
          <w:sz w:val="24"/>
          <w:szCs w:val="24"/>
        </w:rPr>
      </w:pPr>
      <w:r>
        <w:rPr>
          <w:noProof/>
          <w:lang w:val="en-US"/>
        </w:rPr>
        <w:drawing>
          <wp:anchor distT="0" distB="0" distL="114300" distR="114300" simplePos="0" relativeHeight="251660288" behindDoc="0" locked="0" layoutInCell="1" allowOverlap="1" wp14:anchorId="6DE827FE" wp14:editId="7E531BDA">
            <wp:simplePos x="0" y="0"/>
            <wp:positionH relativeFrom="column">
              <wp:posOffset>381000</wp:posOffset>
            </wp:positionH>
            <wp:positionV relativeFrom="paragraph">
              <wp:posOffset>-342900</wp:posOffset>
            </wp:positionV>
            <wp:extent cx="1066800" cy="743585"/>
            <wp:effectExtent l="0" t="0" r="0" b="0"/>
            <wp:wrapSquare wrapText="bothSides"/>
            <wp:docPr id="2" name="Imagem 2" descr="Logo ABRAFRI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 ABRAFRIGO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10000"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31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743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55607FA4" wp14:editId="720DA3BF">
            <wp:simplePos x="0" y="0"/>
            <wp:positionH relativeFrom="column">
              <wp:posOffset>2133600</wp:posOffset>
            </wp:positionH>
            <wp:positionV relativeFrom="paragraph">
              <wp:posOffset>-228600</wp:posOffset>
            </wp:positionV>
            <wp:extent cx="2590800" cy="531495"/>
            <wp:effectExtent l="0" t="0" r="0" b="1905"/>
            <wp:wrapSquare wrapText="bothSides"/>
            <wp:docPr id="1" name="Imagem 1" descr="Logo ABRAFRI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ABRAFRIG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66" t="78174" r="6166" b="20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531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650ACA" w14:textId="5D16BE51" w:rsidR="000F7633" w:rsidRDefault="000C341A" w:rsidP="000F7633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1</w:t>
      </w:r>
      <w:r w:rsidR="001754D4">
        <w:rPr>
          <w:b/>
          <w:sz w:val="24"/>
          <w:szCs w:val="24"/>
        </w:rPr>
        <w:t>7</w:t>
      </w:r>
      <w:r w:rsidR="000F7633">
        <w:rPr>
          <w:b/>
          <w:sz w:val="24"/>
          <w:szCs w:val="24"/>
        </w:rPr>
        <w:t>.</w:t>
      </w:r>
      <w:r w:rsidR="008270C0">
        <w:rPr>
          <w:b/>
          <w:sz w:val="24"/>
          <w:szCs w:val="24"/>
        </w:rPr>
        <w:t>0</w:t>
      </w:r>
      <w:r w:rsidR="006D62AE">
        <w:rPr>
          <w:b/>
          <w:sz w:val="24"/>
          <w:szCs w:val="24"/>
        </w:rPr>
        <w:t>3</w:t>
      </w:r>
      <w:r w:rsidR="000F7633">
        <w:rPr>
          <w:b/>
          <w:sz w:val="24"/>
          <w:szCs w:val="24"/>
        </w:rPr>
        <w:t>.202</w:t>
      </w:r>
      <w:r w:rsidR="008270C0">
        <w:rPr>
          <w:b/>
          <w:sz w:val="24"/>
          <w:szCs w:val="24"/>
        </w:rPr>
        <w:t>5</w:t>
      </w:r>
    </w:p>
    <w:p w14:paraId="405BD11B" w14:textId="77777777" w:rsidR="000F7633" w:rsidRDefault="000F7633" w:rsidP="000F7633">
      <w:pPr>
        <w:spacing w:after="0"/>
        <w:rPr>
          <w:b/>
          <w:bCs/>
          <w:sz w:val="21"/>
          <w:szCs w:val="21"/>
        </w:rPr>
      </w:pPr>
    </w:p>
    <w:p w14:paraId="7C762113" w14:textId="77777777" w:rsidR="000C341A" w:rsidRDefault="000C341A" w:rsidP="000F7633">
      <w:pPr>
        <w:spacing w:after="0"/>
        <w:rPr>
          <w:b/>
          <w:bCs/>
          <w:sz w:val="21"/>
          <w:szCs w:val="21"/>
        </w:rPr>
      </w:pPr>
    </w:p>
    <w:p w14:paraId="0C1BD1DE" w14:textId="00777590" w:rsidR="006D62AE" w:rsidRPr="006D62AE" w:rsidRDefault="006D62AE" w:rsidP="006D62AE">
      <w:pPr>
        <w:spacing w:after="0"/>
        <w:rPr>
          <w:rFonts w:ascii="Calibri" w:hAnsi="Calibri" w:cs="Calibri"/>
          <w:b/>
          <w:bCs/>
          <w:caps/>
          <w:kern w:val="2"/>
          <w:sz w:val="28"/>
          <w:szCs w:val="28"/>
          <w14:ligatures w14:val="standardContextual"/>
        </w:rPr>
      </w:pPr>
      <w:r w:rsidRPr="006D62AE">
        <w:rPr>
          <w:rFonts w:ascii="Calibri" w:hAnsi="Calibri" w:cs="Calibri"/>
          <w:b/>
          <w:bCs/>
          <w:caps/>
          <w:kern w:val="2"/>
          <w:sz w:val="28"/>
          <w:szCs w:val="28"/>
          <w14:ligatures w14:val="standardContextual"/>
        </w:rPr>
        <w:t xml:space="preserve">Abrafrigo: Exportações de carne bovina </w:t>
      </w:r>
      <w:r w:rsidR="00722040">
        <w:rPr>
          <w:rFonts w:ascii="Calibri" w:hAnsi="Calibri" w:cs="Calibri"/>
          <w:b/>
          <w:bCs/>
          <w:caps/>
          <w:kern w:val="2"/>
          <w:sz w:val="28"/>
          <w:szCs w:val="28"/>
          <w14:ligatures w14:val="standardContextual"/>
        </w:rPr>
        <w:t>desaceleram</w:t>
      </w:r>
      <w:r w:rsidR="00DE0F67">
        <w:rPr>
          <w:rFonts w:ascii="Calibri" w:hAnsi="Calibri" w:cs="Calibri"/>
          <w:b/>
          <w:bCs/>
          <w:caps/>
          <w:kern w:val="2"/>
          <w:sz w:val="28"/>
          <w:szCs w:val="28"/>
          <w14:ligatures w14:val="standardContextual"/>
        </w:rPr>
        <w:t xml:space="preserve"> em fevereiro</w:t>
      </w:r>
      <w:r w:rsidR="00BA06A2">
        <w:rPr>
          <w:rFonts w:ascii="Calibri" w:hAnsi="Calibri" w:cs="Calibri"/>
          <w:b/>
          <w:bCs/>
          <w:caps/>
          <w:kern w:val="2"/>
          <w:sz w:val="28"/>
          <w:szCs w:val="28"/>
          <w14:ligatures w14:val="standardContextual"/>
        </w:rPr>
        <w:t xml:space="preserve">, com queda de 6% </w:t>
      </w:r>
      <w:r w:rsidR="003E3124">
        <w:rPr>
          <w:rFonts w:ascii="Calibri" w:hAnsi="Calibri" w:cs="Calibri"/>
          <w:b/>
          <w:bCs/>
          <w:caps/>
          <w:kern w:val="2"/>
          <w:sz w:val="28"/>
          <w:szCs w:val="28"/>
          <w14:ligatures w14:val="standardContextual"/>
        </w:rPr>
        <w:t>n</w:t>
      </w:r>
      <w:r w:rsidR="00BA06A2">
        <w:rPr>
          <w:rFonts w:ascii="Calibri" w:hAnsi="Calibri" w:cs="Calibri"/>
          <w:b/>
          <w:bCs/>
          <w:caps/>
          <w:kern w:val="2"/>
          <w:sz w:val="28"/>
          <w:szCs w:val="28"/>
          <w14:ligatures w14:val="standardContextual"/>
        </w:rPr>
        <w:t xml:space="preserve">os </w:t>
      </w:r>
      <w:r w:rsidR="003E3124">
        <w:rPr>
          <w:rFonts w:ascii="Calibri" w:hAnsi="Calibri" w:cs="Calibri"/>
          <w:b/>
          <w:bCs/>
          <w:caps/>
          <w:kern w:val="2"/>
          <w:sz w:val="28"/>
          <w:szCs w:val="28"/>
          <w14:ligatures w14:val="standardContextual"/>
        </w:rPr>
        <w:t>volumes embarcados</w:t>
      </w:r>
    </w:p>
    <w:p w14:paraId="224EE4C0" w14:textId="77777777" w:rsidR="006D62AE" w:rsidRPr="006D62AE" w:rsidRDefault="006D62AE" w:rsidP="006D62AE">
      <w:pPr>
        <w:spacing w:after="0"/>
        <w:rPr>
          <w:rFonts w:ascii="Calibri" w:hAnsi="Calibri" w:cs="Calibri"/>
          <w:kern w:val="2"/>
          <w14:ligatures w14:val="standardContextual"/>
        </w:rPr>
      </w:pPr>
    </w:p>
    <w:p w14:paraId="47AA6EF1" w14:textId="4B0C5510" w:rsidR="006D62AE" w:rsidRPr="006D62AE" w:rsidRDefault="006D62AE" w:rsidP="006D62AE">
      <w:pPr>
        <w:spacing w:after="0"/>
        <w:rPr>
          <w:rFonts w:ascii="Calibri" w:hAnsi="Calibri" w:cs="Calibri"/>
          <w:kern w:val="2"/>
          <w14:ligatures w14:val="standardContextual"/>
        </w:rPr>
      </w:pPr>
      <w:r w:rsidRPr="006D62AE">
        <w:rPr>
          <w:rFonts w:ascii="Calibri" w:hAnsi="Calibri" w:cs="Calibri"/>
          <w:kern w:val="2"/>
          <w14:ligatures w14:val="standardContextual"/>
        </w:rPr>
        <w:t xml:space="preserve">As exportações totais de carne bovina em fevereiro (carnes </w:t>
      </w:r>
      <w:r w:rsidRPr="00EC1D1D">
        <w:rPr>
          <w:rFonts w:ascii="Calibri" w:hAnsi="Calibri" w:cs="Calibri"/>
          <w:i/>
          <w:iCs/>
          <w:kern w:val="2"/>
          <w14:ligatures w14:val="standardContextual"/>
        </w:rPr>
        <w:t>in natura</w:t>
      </w:r>
      <w:r w:rsidRPr="006D62AE">
        <w:rPr>
          <w:rFonts w:ascii="Calibri" w:hAnsi="Calibri" w:cs="Calibri"/>
          <w:kern w:val="2"/>
          <w14:ligatures w14:val="standardContextual"/>
        </w:rPr>
        <w:t xml:space="preserve"> somadas às carnes processadas</w:t>
      </w:r>
      <w:r w:rsidR="0002596F">
        <w:rPr>
          <w:rFonts w:ascii="Calibri" w:hAnsi="Calibri" w:cs="Calibri"/>
          <w:kern w:val="2"/>
          <w14:ligatures w14:val="standardContextual"/>
        </w:rPr>
        <w:t xml:space="preserve"> e subprodutos</w:t>
      </w:r>
      <w:r w:rsidRPr="006D62AE">
        <w:rPr>
          <w:rFonts w:ascii="Calibri" w:hAnsi="Calibri" w:cs="Calibri"/>
          <w:kern w:val="2"/>
          <w14:ligatures w14:val="standardContextual"/>
        </w:rPr>
        <w:t xml:space="preserve">), apresentaram queda de 6% no volume, informou a Associação </w:t>
      </w:r>
      <w:r w:rsidR="00FB456C">
        <w:rPr>
          <w:rFonts w:ascii="Calibri" w:hAnsi="Calibri" w:cs="Calibri"/>
          <w:kern w:val="2"/>
          <w14:ligatures w14:val="standardContextual"/>
        </w:rPr>
        <w:t>B</w:t>
      </w:r>
      <w:r w:rsidRPr="006D62AE">
        <w:rPr>
          <w:rFonts w:ascii="Calibri" w:hAnsi="Calibri" w:cs="Calibri"/>
          <w:kern w:val="2"/>
          <w14:ligatures w14:val="standardContextual"/>
        </w:rPr>
        <w:t>rasileira de Frigoríficos (</w:t>
      </w:r>
      <w:r w:rsidRPr="006D62AE">
        <w:rPr>
          <w:rFonts w:ascii="Calibri" w:hAnsi="Calibri" w:cs="Calibri"/>
          <w:caps/>
          <w:kern w:val="2"/>
          <w14:ligatures w14:val="standardContextual"/>
        </w:rPr>
        <w:t>Abrafrigo</w:t>
      </w:r>
      <w:r w:rsidRPr="006D62AE">
        <w:rPr>
          <w:rFonts w:ascii="Calibri" w:hAnsi="Calibri" w:cs="Calibri"/>
          <w:kern w:val="2"/>
          <w14:ligatures w14:val="standardContextual"/>
        </w:rPr>
        <w:t>) que compilou os dados da Secretaria de Comércio Exterior (Secex), do Ministério do Desenvolvimento, Indústria, Comércio e Serviços (</w:t>
      </w:r>
      <w:r w:rsidR="00644C78">
        <w:rPr>
          <w:rFonts w:ascii="Calibri" w:hAnsi="Calibri" w:cs="Calibri"/>
          <w:kern w:val="2"/>
          <w14:ligatures w14:val="standardContextual"/>
        </w:rPr>
        <w:t>MDIC</w:t>
      </w:r>
      <w:r w:rsidRPr="006D62AE">
        <w:rPr>
          <w:rFonts w:ascii="Calibri" w:hAnsi="Calibri" w:cs="Calibri"/>
          <w:kern w:val="2"/>
          <w14:ligatures w14:val="standardContextual"/>
        </w:rPr>
        <w:t xml:space="preserve">). No volume, a movimentação de fevereiro de 2025 foi de 217.108 toneladas e em 2024 alcançou a 230.504 toneladas. Na receita, </w:t>
      </w:r>
      <w:r w:rsidR="00AE211C">
        <w:rPr>
          <w:rFonts w:ascii="Calibri" w:hAnsi="Calibri" w:cs="Calibri"/>
          <w:kern w:val="2"/>
          <w14:ligatures w14:val="standardContextual"/>
        </w:rPr>
        <w:t>houve crescimento de 1</w:t>
      </w:r>
      <w:r w:rsidR="00C20FB0">
        <w:rPr>
          <w:rFonts w:ascii="Calibri" w:hAnsi="Calibri" w:cs="Calibri"/>
          <w:kern w:val="2"/>
          <w14:ligatures w14:val="standardContextual"/>
        </w:rPr>
        <w:t>2,6</w:t>
      </w:r>
      <w:r w:rsidR="00AE211C">
        <w:rPr>
          <w:rFonts w:ascii="Calibri" w:hAnsi="Calibri" w:cs="Calibri"/>
          <w:kern w:val="2"/>
          <w14:ligatures w14:val="standardContextual"/>
        </w:rPr>
        <w:t xml:space="preserve">% no mês de fevereiro, passando de </w:t>
      </w:r>
      <w:r w:rsidRPr="006D62AE">
        <w:rPr>
          <w:rFonts w:ascii="Calibri" w:hAnsi="Calibri" w:cs="Calibri"/>
          <w:kern w:val="2"/>
          <w14:ligatures w14:val="standardContextual"/>
        </w:rPr>
        <w:t xml:space="preserve">US$ 922,1 milhões </w:t>
      </w:r>
      <w:r w:rsidR="00DE6F0E">
        <w:rPr>
          <w:rFonts w:ascii="Calibri" w:hAnsi="Calibri" w:cs="Calibri"/>
          <w:kern w:val="2"/>
          <w14:ligatures w14:val="standardContextual"/>
        </w:rPr>
        <w:t xml:space="preserve">em 2024 para </w:t>
      </w:r>
      <w:r w:rsidRPr="006D62AE">
        <w:rPr>
          <w:rFonts w:ascii="Calibri" w:hAnsi="Calibri" w:cs="Calibri"/>
          <w:kern w:val="2"/>
          <w14:ligatures w14:val="standardContextual"/>
        </w:rPr>
        <w:t>US$ 1,038 bilhão</w:t>
      </w:r>
      <w:r w:rsidR="00C20FB0">
        <w:rPr>
          <w:rFonts w:ascii="Calibri" w:hAnsi="Calibri" w:cs="Calibri"/>
          <w:kern w:val="2"/>
          <w14:ligatures w14:val="standardContextual"/>
        </w:rPr>
        <w:t xml:space="preserve"> em 2025</w:t>
      </w:r>
      <w:r w:rsidRPr="006D62AE">
        <w:rPr>
          <w:rFonts w:ascii="Calibri" w:hAnsi="Calibri" w:cs="Calibri"/>
          <w:kern w:val="2"/>
          <w14:ligatures w14:val="standardContextual"/>
        </w:rPr>
        <w:t>. O preço médio de 2024 em fevereiro foi de US$ 4.000 por tonelada e, neste ano, foi a US$ 4.782 por tonelada.</w:t>
      </w:r>
    </w:p>
    <w:p w14:paraId="706F018B" w14:textId="2541B0A5" w:rsidR="006D62AE" w:rsidRPr="006D62AE" w:rsidRDefault="006D62AE" w:rsidP="006D62AE">
      <w:pPr>
        <w:spacing w:after="0"/>
        <w:rPr>
          <w:rFonts w:ascii="Calibri" w:hAnsi="Calibri" w:cs="Calibri"/>
          <w:kern w:val="2"/>
          <w14:ligatures w14:val="standardContextual"/>
        </w:rPr>
      </w:pPr>
      <w:r w:rsidRPr="006D62AE">
        <w:rPr>
          <w:rFonts w:ascii="Calibri" w:hAnsi="Calibri" w:cs="Calibri"/>
          <w:kern w:val="2"/>
          <w14:ligatures w14:val="standardContextual"/>
        </w:rPr>
        <w:t>No primeiro bimestre de 2025, as exportações movimentaram 456.146 toneladas (-2%) com receita de US$ 2,066 bilhões (+12%). Em 2024</w:t>
      </w:r>
      <w:r w:rsidR="00EC1D1D">
        <w:rPr>
          <w:rFonts w:ascii="Calibri" w:hAnsi="Calibri" w:cs="Calibri"/>
          <w:kern w:val="2"/>
          <w14:ligatures w14:val="standardContextual"/>
        </w:rPr>
        <w:t>,</w:t>
      </w:r>
      <w:r w:rsidRPr="006D62AE">
        <w:rPr>
          <w:rFonts w:ascii="Calibri" w:hAnsi="Calibri" w:cs="Calibri"/>
          <w:kern w:val="2"/>
          <w14:ligatures w14:val="standardContextual"/>
        </w:rPr>
        <w:t xml:space="preserve"> a movimentação foi de 465.651 toneladas e a receita de US$ 1,852 bilhão. O preço médio do bimestre em 2024 foi de US$ 3.977 por tonelada e em 2025 alcançou a US$ 4.529 por tonelada.</w:t>
      </w:r>
    </w:p>
    <w:p w14:paraId="6D9B2435" w14:textId="77777777" w:rsidR="006D62AE" w:rsidRPr="006D62AE" w:rsidRDefault="006D62AE" w:rsidP="006D62AE">
      <w:pPr>
        <w:spacing w:after="0"/>
        <w:rPr>
          <w:rFonts w:ascii="Calibri" w:hAnsi="Calibri" w:cs="Calibri"/>
          <w:kern w:val="2"/>
          <w14:ligatures w14:val="standardContextual"/>
        </w:rPr>
      </w:pPr>
      <w:r w:rsidRPr="006D62AE">
        <w:rPr>
          <w:rFonts w:ascii="Calibri" w:hAnsi="Calibri" w:cs="Calibri"/>
          <w:kern w:val="2"/>
          <w14:ligatures w14:val="standardContextual"/>
        </w:rPr>
        <w:t>O maior cliente do produto brasileiro, a China, importou 194.135 toneladas com receita de US$ 857,5 milhões nos dois primeiros meses de 2024. No primeiro bimestre de 2025 a movimentação da China foi de 183.800 toneladas (-5,3%) e a receita de US$ 895,9 milhões (+4,5%). O preço médio em 2024 foi de US$ 4.417 por tonelada e em 2025 alcançou a US$ 4.874 por tonelada.</w:t>
      </w:r>
    </w:p>
    <w:p w14:paraId="73C9090D" w14:textId="45F068DD" w:rsidR="006D62AE" w:rsidRPr="006D62AE" w:rsidRDefault="006D62AE" w:rsidP="006D62AE">
      <w:pPr>
        <w:spacing w:after="0"/>
        <w:rPr>
          <w:rFonts w:ascii="Calibri" w:hAnsi="Calibri" w:cs="Calibri"/>
          <w:kern w:val="2"/>
          <w14:ligatures w14:val="standardContextual"/>
        </w:rPr>
      </w:pPr>
      <w:r w:rsidRPr="006D62AE">
        <w:rPr>
          <w:rFonts w:ascii="Calibri" w:hAnsi="Calibri" w:cs="Calibri"/>
          <w:kern w:val="2"/>
          <w14:ligatures w14:val="standardContextual"/>
        </w:rPr>
        <w:t xml:space="preserve">Os Estados Unidos, segundo maior cliente do Brasil, compraram 89.003 toneladas com receita de US$ 258,2 milhões no primeiro bimestre de 2024. Em 2025, a importação </w:t>
      </w:r>
      <w:r w:rsidR="00EC1D1D">
        <w:rPr>
          <w:rFonts w:ascii="Calibri" w:hAnsi="Calibri" w:cs="Calibri"/>
          <w:kern w:val="2"/>
          <w14:ligatures w14:val="standardContextual"/>
        </w:rPr>
        <w:t>caiu para</w:t>
      </w:r>
      <w:r w:rsidRPr="006D62AE">
        <w:rPr>
          <w:rFonts w:ascii="Calibri" w:hAnsi="Calibri" w:cs="Calibri"/>
          <w:kern w:val="2"/>
          <w14:ligatures w14:val="standardContextual"/>
        </w:rPr>
        <w:t xml:space="preserve"> 78.233 toneladas (- 12,1%) e a receita </w:t>
      </w:r>
      <w:r w:rsidR="00EC1D1D">
        <w:rPr>
          <w:rFonts w:ascii="Calibri" w:hAnsi="Calibri" w:cs="Calibri"/>
          <w:kern w:val="2"/>
          <w14:ligatures w14:val="standardContextual"/>
        </w:rPr>
        <w:t xml:space="preserve">subiu para </w:t>
      </w:r>
      <w:r w:rsidRPr="006D62AE">
        <w:rPr>
          <w:rFonts w:ascii="Calibri" w:hAnsi="Calibri" w:cs="Calibri"/>
          <w:kern w:val="2"/>
          <w14:ligatures w14:val="standardContextual"/>
        </w:rPr>
        <w:t xml:space="preserve">US$ 286,3 milhões (+10,9%). O preço médio em 2024 foi de US$ 2.901 por tonelada e em 2025 </w:t>
      </w:r>
      <w:r w:rsidR="00EC1D1D">
        <w:rPr>
          <w:rFonts w:ascii="Calibri" w:hAnsi="Calibri" w:cs="Calibri"/>
          <w:kern w:val="2"/>
          <w14:ligatures w14:val="standardContextual"/>
        </w:rPr>
        <w:t>aumentou</w:t>
      </w:r>
      <w:r w:rsidRPr="006D62AE">
        <w:rPr>
          <w:rFonts w:ascii="Calibri" w:hAnsi="Calibri" w:cs="Calibri"/>
          <w:kern w:val="2"/>
          <w14:ligatures w14:val="standardContextual"/>
        </w:rPr>
        <w:t xml:space="preserve"> para US$ 3.360 por tonelada.</w:t>
      </w:r>
    </w:p>
    <w:p w14:paraId="026D250C" w14:textId="7C0D9C2D" w:rsidR="006D62AE" w:rsidRPr="006D62AE" w:rsidRDefault="006D62AE" w:rsidP="006D62AE">
      <w:pPr>
        <w:spacing w:after="0"/>
        <w:rPr>
          <w:rFonts w:ascii="Calibri" w:hAnsi="Calibri" w:cs="Calibri"/>
          <w:kern w:val="2"/>
          <w14:ligatures w14:val="standardContextual"/>
        </w:rPr>
      </w:pPr>
      <w:r w:rsidRPr="006D62AE">
        <w:rPr>
          <w:rFonts w:ascii="Calibri" w:hAnsi="Calibri" w:cs="Calibri"/>
          <w:kern w:val="2"/>
          <w14:ligatures w14:val="standardContextual"/>
        </w:rPr>
        <w:t>O terceiro maior comprador de carne bovina, o Chile, aumentou sua movimentação de 11.926 toneladas, com receita de US$ 54,5 milhões em 2024 para 19.281 toneladas (+61,7%) e receita de US$ 105 milhões em 2025 (+92.5%). A Argélia subiu para quarta posição entre os 20 maiores importadores</w:t>
      </w:r>
      <w:r w:rsidR="001754D4">
        <w:rPr>
          <w:rFonts w:ascii="Calibri" w:hAnsi="Calibri" w:cs="Calibri"/>
          <w:kern w:val="2"/>
          <w14:ligatures w14:val="standardContextual"/>
        </w:rPr>
        <w:t>,</w:t>
      </w:r>
      <w:r w:rsidRPr="006D62AE">
        <w:rPr>
          <w:rFonts w:ascii="Calibri" w:hAnsi="Calibri" w:cs="Calibri"/>
          <w:kern w:val="2"/>
          <w14:ligatures w14:val="standardContextual"/>
        </w:rPr>
        <w:t xml:space="preserve"> elevando suas aquisições de 5.322 toneladas e receita de US$ 24,1 milhões em 2024 para 15.956 toneladas (+199%) e receita de US$ 85,4 milhões em 2025 (+254%). Outros importadores que tiveram crescimento relevante foram a Itália e a Líbia. No total, 89</w:t>
      </w:r>
      <w:r w:rsidR="001754D4">
        <w:rPr>
          <w:rFonts w:ascii="Calibri" w:hAnsi="Calibri" w:cs="Calibri"/>
          <w:kern w:val="2"/>
          <w14:ligatures w14:val="standardContextual"/>
        </w:rPr>
        <w:t xml:space="preserve"> importadores</w:t>
      </w:r>
      <w:r w:rsidRPr="006D62AE">
        <w:rPr>
          <w:rFonts w:ascii="Calibri" w:hAnsi="Calibri" w:cs="Calibri"/>
          <w:kern w:val="2"/>
          <w14:ligatures w14:val="standardContextual"/>
        </w:rPr>
        <w:t xml:space="preserve"> aumentaram suas </w:t>
      </w:r>
      <w:r w:rsidR="001754D4">
        <w:rPr>
          <w:rFonts w:ascii="Calibri" w:hAnsi="Calibri" w:cs="Calibri"/>
          <w:kern w:val="2"/>
          <w14:ligatures w14:val="standardContextual"/>
        </w:rPr>
        <w:t>aquisições,</w:t>
      </w:r>
      <w:r w:rsidRPr="006D62AE">
        <w:rPr>
          <w:rFonts w:ascii="Calibri" w:hAnsi="Calibri" w:cs="Calibri"/>
          <w:kern w:val="2"/>
          <w14:ligatures w14:val="standardContextual"/>
        </w:rPr>
        <w:t xml:space="preserve"> </w:t>
      </w:r>
      <w:r w:rsidR="00890208" w:rsidRPr="006D62AE">
        <w:rPr>
          <w:rFonts w:ascii="Calibri" w:hAnsi="Calibri" w:cs="Calibri"/>
          <w:kern w:val="2"/>
          <w14:ligatures w14:val="standardContextual"/>
        </w:rPr>
        <w:t>enquanto</w:t>
      </w:r>
      <w:r w:rsidRPr="006D62AE">
        <w:rPr>
          <w:rFonts w:ascii="Calibri" w:hAnsi="Calibri" w:cs="Calibri"/>
          <w:kern w:val="2"/>
          <w14:ligatures w14:val="standardContextual"/>
        </w:rPr>
        <w:t xml:space="preserve"> outros 51 reduziram suas compras.</w:t>
      </w:r>
    </w:p>
    <w:p w14:paraId="5AB6697F" w14:textId="77777777" w:rsidR="006D62AE" w:rsidRDefault="006D62AE" w:rsidP="000F7633">
      <w:pPr>
        <w:spacing w:after="0"/>
        <w:rPr>
          <w:b/>
          <w:bCs/>
          <w:sz w:val="21"/>
          <w:szCs w:val="21"/>
        </w:rPr>
      </w:pPr>
    </w:p>
    <w:p w14:paraId="538374B6" w14:textId="317DD8CF" w:rsidR="000C341A" w:rsidRPr="000C341A" w:rsidRDefault="000C341A" w:rsidP="000F7633">
      <w:pPr>
        <w:spacing w:after="0"/>
        <w:rPr>
          <w:rFonts w:ascii="Calibri" w:hAnsi="Calibri" w:cs="Calibri"/>
          <w:b/>
          <w:bCs/>
          <w:sz w:val="21"/>
          <w:szCs w:val="21"/>
        </w:rPr>
      </w:pPr>
      <w:r w:rsidRPr="000C341A">
        <w:rPr>
          <w:rFonts w:ascii="Calibri" w:hAnsi="Calibri" w:cs="Calibri"/>
          <w:b/>
          <w:bCs/>
          <w:sz w:val="21"/>
          <w:szCs w:val="21"/>
        </w:rPr>
        <w:t>Norberto Staviski</w:t>
      </w:r>
    </w:p>
    <w:p w14:paraId="683C995D" w14:textId="4BF930A8" w:rsidR="000C341A" w:rsidRPr="000C341A" w:rsidRDefault="000C341A" w:rsidP="000F7633">
      <w:pPr>
        <w:spacing w:after="0"/>
        <w:rPr>
          <w:rFonts w:ascii="Calibri" w:hAnsi="Calibri" w:cs="Calibri"/>
          <w:b/>
          <w:bCs/>
          <w:sz w:val="21"/>
          <w:szCs w:val="21"/>
        </w:rPr>
      </w:pPr>
      <w:r w:rsidRPr="000C341A">
        <w:rPr>
          <w:rFonts w:ascii="Calibri" w:hAnsi="Calibri" w:cs="Calibri"/>
          <w:b/>
          <w:bCs/>
          <w:sz w:val="21"/>
          <w:szCs w:val="21"/>
        </w:rPr>
        <w:t>Assessoria de Imprensa Abrafrigo</w:t>
      </w:r>
    </w:p>
    <w:p w14:paraId="0F1B169B" w14:textId="6952B6F4" w:rsidR="000C341A" w:rsidRPr="000C341A" w:rsidRDefault="000C341A" w:rsidP="000F7633">
      <w:pPr>
        <w:spacing w:after="0"/>
        <w:rPr>
          <w:rFonts w:ascii="Calibri" w:hAnsi="Calibri" w:cs="Calibri"/>
          <w:b/>
          <w:bCs/>
          <w:sz w:val="21"/>
          <w:szCs w:val="21"/>
        </w:rPr>
      </w:pPr>
      <w:r w:rsidRPr="000C341A">
        <w:rPr>
          <w:rFonts w:ascii="Calibri" w:hAnsi="Calibri" w:cs="Calibri"/>
          <w:b/>
          <w:bCs/>
          <w:sz w:val="21"/>
          <w:szCs w:val="21"/>
        </w:rPr>
        <w:t>041 99697</w:t>
      </w:r>
      <w:r w:rsidR="00EC1D1D">
        <w:rPr>
          <w:rFonts w:ascii="Calibri" w:hAnsi="Calibri" w:cs="Calibri"/>
          <w:b/>
          <w:bCs/>
          <w:sz w:val="21"/>
          <w:szCs w:val="21"/>
        </w:rPr>
        <w:t xml:space="preserve"> </w:t>
      </w:r>
      <w:r w:rsidRPr="000C341A">
        <w:rPr>
          <w:rFonts w:ascii="Calibri" w:hAnsi="Calibri" w:cs="Calibri"/>
          <w:b/>
          <w:bCs/>
          <w:sz w:val="21"/>
          <w:szCs w:val="21"/>
        </w:rPr>
        <w:t>8868</w:t>
      </w:r>
    </w:p>
    <w:sectPr w:rsidR="000C341A" w:rsidRPr="000C341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633"/>
    <w:rsid w:val="0002596F"/>
    <w:rsid w:val="000A29C7"/>
    <w:rsid w:val="000C341A"/>
    <w:rsid w:val="000F7633"/>
    <w:rsid w:val="001754D4"/>
    <w:rsid w:val="00220730"/>
    <w:rsid w:val="002417B5"/>
    <w:rsid w:val="0033101D"/>
    <w:rsid w:val="003E3124"/>
    <w:rsid w:val="005A1002"/>
    <w:rsid w:val="005E142D"/>
    <w:rsid w:val="00643291"/>
    <w:rsid w:val="00644C78"/>
    <w:rsid w:val="006A7AB2"/>
    <w:rsid w:val="006D62AE"/>
    <w:rsid w:val="006F3E38"/>
    <w:rsid w:val="00722040"/>
    <w:rsid w:val="007855DD"/>
    <w:rsid w:val="00814675"/>
    <w:rsid w:val="008270C0"/>
    <w:rsid w:val="00890208"/>
    <w:rsid w:val="00AA1D7F"/>
    <w:rsid w:val="00AE211C"/>
    <w:rsid w:val="00B30337"/>
    <w:rsid w:val="00B4639D"/>
    <w:rsid w:val="00B84EC5"/>
    <w:rsid w:val="00BA06A2"/>
    <w:rsid w:val="00C20FB0"/>
    <w:rsid w:val="00D95CE8"/>
    <w:rsid w:val="00DD5F63"/>
    <w:rsid w:val="00DE0F67"/>
    <w:rsid w:val="00DE6F0E"/>
    <w:rsid w:val="00EC1D1D"/>
    <w:rsid w:val="00EC4397"/>
    <w:rsid w:val="00FA1C6F"/>
    <w:rsid w:val="00FB4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393223"/>
  <w15:chartTrackingRefBased/>
  <w15:docId w15:val="{35BDD912-A101-4889-94B1-2128F1493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Calibr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7633"/>
    <w:pPr>
      <w:spacing w:after="160"/>
    </w:pPr>
    <w:rPr>
      <w:rFonts w:asciiTheme="minorHAnsi" w:hAnsiTheme="minorHAnsi" w:cstheme="minorBidi"/>
      <w:kern w:val="0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0F76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F76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0F76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F76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0F76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0F76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F76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0F76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F76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0F76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0F76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0F7633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0F763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0F763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0F763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0F763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0F763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0F7633"/>
    <w:rPr>
      <w:rFonts w:asciiTheme="minorHAnsi" w:eastAsiaTheme="majorEastAsia" w:hAnsiTheme="minorHAnsi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0F76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0F76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0F76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0F763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0F7633"/>
    <w:pPr>
      <w:spacing w:before="160"/>
      <w:jc w:val="center"/>
    </w:pPr>
    <w:rPr>
      <w:rFonts w:ascii="Calibri" w:hAnsi="Calibri" w:cs="Calibri"/>
      <w:i/>
      <w:iCs/>
      <w:color w:val="404040" w:themeColor="text1" w:themeTint="BF"/>
      <w:kern w:val="2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0F7633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0F7633"/>
    <w:pPr>
      <w:spacing w:after="0"/>
      <w:ind w:left="720"/>
      <w:contextualSpacing/>
    </w:pPr>
    <w:rPr>
      <w:rFonts w:ascii="Calibri" w:hAnsi="Calibri" w:cs="Calibri"/>
      <w:kern w:val="2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0F7633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0F76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="Calibri" w:hAnsi="Calibri" w:cs="Calibri"/>
      <w:i/>
      <w:iCs/>
      <w:color w:val="0F4761" w:themeColor="accent1" w:themeShade="BF"/>
      <w:kern w:val="2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0F7633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0F763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epargpadro"/>
    <w:uiPriority w:val="99"/>
    <w:semiHidden/>
    <w:unhideWhenUsed/>
    <w:rsid w:val="000C341A"/>
    <w:rPr>
      <w:color w:val="0563C1"/>
      <w:u w:val="single"/>
    </w:rPr>
  </w:style>
  <w:style w:type="character" w:customStyle="1" w:styleId="apple-converted-space">
    <w:name w:val="apple-converted-space"/>
    <w:basedOn w:val="Fontepargpadro"/>
    <w:rsid w:val="000C34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570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397</Words>
  <Characters>2149</Characters>
  <Application>Microsoft Office Word</Application>
  <DocSecurity>0</DocSecurity>
  <Lines>17</Lines>
  <Paragraphs>5</Paragraphs>
  <ScaleCrop>false</ScaleCrop>
  <Company/>
  <LinksUpToDate>false</LinksUpToDate>
  <CharactersWithSpaces>2541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Norberto Staviski</dc:creator>
  <cp:keywords/>
  <dc:description/>
  <cp:lastModifiedBy>Norberto Staviski</cp:lastModifiedBy>
  <cp:revision>5</cp:revision>
  <dcterms:created xsi:type="dcterms:W3CDTF">2025-03-17T13:13:00Z</dcterms:created>
  <dcterms:modified xsi:type="dcterms:W3CDTF">2025-03-17T13:28:00Z</dcterms:modified>
</cp:coreProperties>
</file>