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65215" w14:textId="090C0359" w:rsidR="00F942C6" w:rsidRDefault="00F942C6" w:rsidP="00F942C6">
      <w:pPr>
        <w:jc w:val="both"/>
        <w:rPr>
          <w:b/>
          <w:bCs/>
          <w:sz w:val="36"/>
          <w:szCs w:val="36"/>
          <w:lang w:val="pt-BR"/>
        </w:rPr>
      </w:pPr>
      <w:r w:rsidRPr="00F942C6">
        <w:rPr>
          <w:b/>
          <w:bCs/>
          <w:sz w:val="36"/>
          <w:szCs w:val="36"/>
          <w:lang w:val="pt-BR"/>
        </w:rPr>
        <w:t>Atualização StoneX</w:t>
      </w:r>
    </w:p>
    <w:p w14:paraId="424EA986" w14:textId="1449D8FB" w:rsidR="00F942C6" w:rsidRPr="00F942C6" w:rsidRDefault="00F942C6" w:rsidP="00F942C6">
      <w:pPr>
        <w:jc w:val="both"/>
        <w:rPr>
          <w:b/>
          <w:bCs/>
          <w:sz w:val="36"/>
          <w:szCs w:val="36"/>
          <w:lang w:val="pt-BR"/>
        </w:rPr>
      </w:pPr>
      <w:r w:rsidRPr="00F942C6">
        <w:rPr>
          <w:b/>
          <w:bCs/>
          <w:sz w:val="36"/>
          <w:szCs w:val="36"/>
          <w:lang w:val="pt-BR"/>
        </w:rPr>
        <w:t>Ajuste das projeções de demanda de diesel A e biodiesel para 2025</w:t>
      </w:r>
    </w:p>
    <w:p w14:paraId="5EC73506" w14:textId="2BF85B61" w:rsidR="00F942C6" w:rsidRDefault="00F942C6" w:rsidP="00F942C6">
      <w:pPr>
        <w:jc w:val="both"/>
        <w:rPr>
          <w:b/>
          <w:bCs/>
          <w:sz w:val="28"/>
          <w:szCs w:val="28"/>
          <w:lang w:val="pt-BR"/>
        </w:rPr>
      </w:pPr>
      <w:r w:rsidRPr="00F942C6">
        <w:rPr>
          <w:b/>
          <w:bCs/>
          <w:sz w:val="28"/>
          <w:szCs w:val="28"/>
          <w:lang w:val="pt-BR"/>
        </w:rPr>
        <w:t>Diante das mudanças anunciadas pelo CNPE hoje (18), a StoneX promoveu ajustes sobre as previsões para o consumo do derivado fóssil puro e do biocombustível para esse ano.</w:t>
      </w:r>
    </w:p>
    <w:p w14:paraId="5B617465" w14:textId="716C09EB" w:rsidR="00F942C6" w:rsidRPr="00F942C6" w:rsidRDefault="00F942C6" w:rsidP="00F942C6">
      <w:pPr>
        <w:jc w:val="both"/>
        <w:rPr>
          <w:b/>
          <w:bCs/>
          <w:sz w:val="28"/>
          <w:szCs w:val="28"/>
          <w:lang w:val="pt-BR"/>
        </w:rPr>
      </w:pPr>
      <w:r>
        <w:rPr>
          <w:noProof/>
        </w:rPr>
        <w:drawing>
          <wp:inline distT="0" distB="0" distL="0" distR="0" wp14:anchorId="58C564BF" wp14:editId="2A2FF838">
            <wp:extent cx="5943600" cy="989330"/>
            <wp:effectExtent l="0" t="0" r="0" b="1270"/>
            <wp:docPr id="1814816688" name="Picture 1" descr="A close up of a black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816688" name="Picture 1" descr="A close up of a black screen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A225D" w14:textId="7B06B232" w:rsidR="00F942C6" w:rsidRPr="00F942C6" w:rsidRDefault="00F942C6" w:rsidP="00F942C6">
      <w:pPr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A</w:t>
      </w:r>
      <w:r w:rsidRPr="00F942C6">
        <w:rPr>
          <w:sz w:val="24"/>
          <w:szCs w:val="24"/>
          <w:lang w:val="pt-BR"/>
        </w:rPr>
        <w:t xml:space="preserve"> previsão do </w:t>
      </w:r>
      <w:r w:rsidRPr="00F942C6">
        <w:rPr>
          <w:b/>
          <w:bCs/>
          <w:sz w:val="24"/>
          <w:szCs w:val="24"/>
          <w:highlight w:val="yellow"/>
          <w:lang w:val="pt-BR"/>
        </w:rPr>
        <w:t>aumento anual das vendas</w:t>
      </w:r>
      <w:r w:rsidRPr="00F942C6">
        <w:rPr>
          <w:b/>
          <w:bCs/>
          <w:sz w:val="24"/>
          <w:szCs w:val="24"/>
          <w:highlight w:val="yellow"/>
          <w:lang w:val="pt-BR"/>
        </w:rPr>
        <w:t xml:space="preserve"> de </w:t>
      </w:r>
      <w:r w:rsidRPr="00F942C6">
        <w:rPr>
          <w:b/>
          <w:bCs/>
          <w:sz w:val="24"/>
          <w:szCs w:val="24"/>
          <w:highlight w:val="yellow"/>
          <w:lang w:val="pt-BR"/>
        </w:rPr>
        <w:t>biodiesel</w:t>
      </w:r>
      <w:r w:rsidRPr="00F942C6">
        <w:rPr>
          <w:sz w:val="24"/>
          <w:szCs w:val="24"/>
          <w:lang w:val="pt-BR"/>
        </w:rPr>
        <w:t xml:space="preserve"> em um cenário de mudança da mistura para 15% a partir de março/25 era de 1,2 milhão de m³, totalizando um volume demandado de 10,2 milhões de m³. </w:t>
      </w:r>
      <w:r w:rsidRPr="00F942C6">
        <w:rPr>
          <w:b/>
          <w:bCs/>
          <w:sz w:val="24"/>
          <w:szCs w:val="24"/>
          <w:highlight w:val="yellow"/>
          <w:lang w:val="pt-BR"/>
        </w:rPr>
        <w:t>Com a manutenção do B14 ao longo de todo o ano de 2025, as projeções passam para um crescimento anual de 600 mil m³, alcançando um volume de 9,6 milhões de m³.</w:t>
      </w:r>
    </w:p>
    <w:p w14:paraId="061514F1" w14:textId="77777777" w:rsidR="00F942C6" w:rsidRPr="00F942C6" w:rsidRDefault="00F942C6" w:rsidP="00F942C6">
      <w:pPr>
        <w:jc w:val="both"/>
        <w:rPr>
          <w:sz w:val="24"/>
          <w:szCs w:val="24"/>
          <w:lang w:val="pt-BR"/>
        </w:rPr>
      </w:pPr>
      <w:r w:rsidRPr="00F942C6">
        <w:rPr>
          <w:sz w:val="24"/>
          <w:szCs w:val="24"/>
          <w:lang w:val="pt-BR"/>
        </w:rPr>
        <w:t xml:space="preserve">Vale destacar que a alteração também gera impactos sobre as estimativas de </w:t>
      </w:r>
      <w:r w:rsidRPr="00F942C6">
        <w:rPr>
          <w:b/>
          <w:bCs/>
          <w:sz w:val="24"/>
          <w:szCs w:val="24"/>
          <w:highlight w:val="yellow"/>
          <w:lang w:val="pt-BR"/>
        </w:rPr>
        <w:t>consumo de óleo de soja para a geração de biodiesel</w:t>
      </w:r>
      <w:r w:rsidRPr="00F942C6">
        <w:rPr>
          <w:sz w:val="24"/>
          <w:szCs w:val="24"/>
          <w:lang w:val="pt-BR"/>
        </w:rPr>
        <w:t xml:space="preserve">. Enquanto, no cenário anterior (B15), as projeções eram de um aumento de 600 mil toneladas, alcançando um volume de 8,3 milhões de tons, </w:t>
      </w:r>
      <w:r w:rsidRPr="00F942C6">
        <w:rPr>
          <w:b/>
          <w:bCs/>
          <w:sz w:val="24"/>
          <w:szCs w:val="24"/>
          <w:highlight w:val="yellow"/>
          <w:lang w:val="pt-BR"/>
        </w:rPr>
        <w:t>o cenário novo (B14) já traz um crescimento menor, de 100 mil tons, totalizando 7,8 milhões de tons.</w:t>
      </w:r>
    </w:p>
    <w:p w14:paraId="741BC697" w14:textId="71D11C24" w:rsidR="00897982" w:rsidRPr="00F942C6" w:rsidRDefault="00F942C6" w:rsidP="00F942C6">
      <w:pPr>
        <w:jc w:val="both"/>
        <w:rPr>
          <w:sz w:val="24"/>
          <w:szCs w:val="24"/>
          <w:lang w:val="pt-BR"/>
        </w:rPr>
      </w:pPr>
      <w:r w:rsidRPr="00F942C6">
        <w:rPr>
          <w:b/>
          <w:bCs/>
          <w:sz w:val="24"/>
          <w:szCs w:val="24"/>
          <w:lang w:val="pt-BR"/>
        </w:rPr>
        <w:t xml:space="preserve">Já para o </w:t>
      </w:r>
      <w:r w:rsidRPr="00F942C6">
        <w:rPr>
          <w:b/>
          <w:bCs/>
          <w:sz w:val="24"/>
          <w:szCs w:val="24"/>
          <w:highlight w:val="yellow"/>
          <w:lang w:val="pt-BR"/>
        </w:rPr>
        <w:t>diesel A</w:t>
      </w:r>
      <w:r w:rsidRPr="00F942C6">
        <w:rPr>
          <w:b/>
          <w:bCs/>
          <w:sz w:val="24"/>
          <w:szCs w:val="24"/>
          <w:lang w:val="pt-BR"/>
        </w:rPr>
        <w:t>, as expectativas são de que a mudança gere um avanço maior das vendas.</w:t>
      </w:r>
      <w:r w:rsidRPr="00F942C6">
        <w:rPr>
          <w:sz w:val="24"/>
          <w:szCs w:val="24"/>
          <w:lang w:val="pt-BR"/>
        </w:rPr>
        <w:t xml:space="preserve"> Enquanto, no cenário do B15, o aumento anual esperado era de 900 mil m³, </w:t>
      </w:r>
      <w:r w:rsidRPr="00F942C6">
        <w:rPr>
          <w:b/>
          <w:bCs/>
          <w:sz w:val="24"/>
          <w:szCs w:val="24"/>
          <w:highlight w:val="yellow"/>
          <w:lang w:val="pt-BR"/>
        </w:rPr>
        <w:t>o cenário de B14 traz uma projeção de expansão do volume para 2025 em 1,5 milhão de m³, totalizando 59,7 milhões de m³.</w:t>
      </w:r>
      <w:r w:rsidRPr="00F942C6">
        <w:rPr>
          <w:sz w:val="24"/>
          <w:szCs w:val="24"/>
          <w:lang w:val="pt-BR"/>
        </w:rPr>
        <w:t xml:space="preserve"> Caso consolidado, o aumento mais acelerado das vendas do óleo diesel fóssil em um mercado com baixa capacidade ociosa de refino deve intensificar ainda mais os volumes de importação do combustível.</w:t>
      </w:r>
    </w:p>
    <w:p w14:paraId="36042717" w14:textId="77777777" w:rsidR="00F942C6" w:rsidRPr="00F942C6" w:rsidRDefault="00F942C6" w:rsidP="00F942C6">
      <w:pPr>
        <w:jc w:val="both"/>
        <w:rPr>
          <w:sz w:val="24"/>
          <w:szCs w:val="24"/>
          <w:lang w:val="pt-BR"/>
        </w:rPr>
      </w:pPr>
      <w:r w:rsidRPr="00F942C6">
        <w:rPr>
          <w:sz w:val="24"/>
          <w:szCs w:val="24"/>
          <w:lang w:val="pt-BR"/>
        </w:rPr>
        <w:t>Em 2024, os preços do óleo de soja avançaram significativamente, influenciados principalmente pela maior demanda do biodiesel, mas também por uma alta do dólar frente ao real e por uma safra aquém do esperado, que limitou o avanço no esmagamento no país. Nesse cenário, o óleo de soja flat Paranaguá registrou uma valorização de 42,5% no ano. Essa alta culminou em um aumento de 41,6% nos preços do biodiesel no mesmo período, considerando o indicador média Brasil da ANP.</w:t>
      </w:r>
    </w:p>
    <w:p w14:paraId="585C61D7" w14:textId="77777777" w:rsidR="00F942C6" w:rsidRPr="00F942C6" w:rsidRDefault="00F942C6" w:rsidP="00F942C6">
      <w:pPr>
        <w:jc w:val="both"/>
        <w:rPr>
          <w:sz w:val="24"/>
          <w:szCs w:val="24"/>
          <w:lang w:val="pt-BR"/>
        </w:rPr>
      </w:pPr>
      <w:r w:rsidRPr="00F942C6">
        <w:rPr>
          <w:sz w:val="24"/>
          <w:szCs w:val="24"/>
          <w:lang w:val="pt-BR"/>
        </w:rPr>
        <w:t xml:space="preserve">Observando o avanço da inflação no acumulado em 12 meses do óleo de soja ao consumidor final, é possível notar que o indicador esteve em território negativo durante o </w:t>
      </w:r>
      <w:r w:rsidRPr="00F942C6">
        <w:rPr>
          <w:sz w:val="24"/>
          <w:szCs w:val="24"/>
          <w:lang w:val="pt-BR"/>
        </w:rPr>
        <w:lastRenderedPageBreak/>
        <w:t>primeiro semestre de 2024, passando a ganhar uma tendência altista ao longo do segundo semestre, com destaque para altas mensais de 5,1%, 11% e 5,1% em outubro, novembro e dezembro, respectivamente, terminando o ano com alta de 29,2%. Em janeiro, dado mais recente do IBGE, o indicador recuou para 24,5%.</w:t>
      </w:r>
    </w:p>
    <w:p w14:paraId="6B224FB1" w14:textId="7420E386" w:rsidR="00F942C6" w:rsidRPr="00F942C6" w:rsidRDefault="00F942C6" w:rsidP="00F942C6">
      <w:pPr>
        <w:jc w:val="both"/>
        <w:rPr>
          <w:sz w:val="24"/>
          <w:szCs w:val="24"/>
          <w:lang w:val="pt-BR"/>
        </w:rPr>
      </w:pPr>
      <w:r w:rsidRPr="00F942C6">
        <w:rPr>
          <w:sz w:val="24"/>
          <w:szCs w:val="24"/>
          <w:lang w:val="pt-BR"/>
        </w:rPr>
        <w:t>Outro ponto importante a se observar é o peso do óleo de soja no indicador de inflação do país. Considerando os 377 itens que compõem a cesta do Índice de Preços ao Consumidor Amplo (IPCA), o óleo de soja representa 0,027% do indicador. Quando analisamos apenas o grupo de alimentação no domicílio — que corresponde a 15,7% do IPCA —, seu peso dentro da categoria é de 1,74%.</w:t>
      </w:r>
    </w:p>
    <w:p w14:paraId="1E582A4C" w14:textId="6D88C91A" w:rsidR="00F942C6" w:rsidRPr="00F942C6" w:rsidRDefault="00F942C6" w:rsidP="00F942C6">
      <w:pPr>
        <w:jc w:val="both"/>
        <w:rPr>
          <w:sz w:val="24"/>
          <w:szCs w:val="24"/>
          <w:lang w:val="pt-BR"/>
        </w:rPr>
      </w:pPr>
      <w:r>
        <w:rPr>
          <w:noProof/>
          <w:sz w:val="24"/>
          <w:szCs w:val="24"/>
          <w:lang w:val="pt-BR"/>
        </w:rPr>
        <w:drawing>
          <wp:anchor distT="0" distB="0" distL="114300" distR="114300" simplePos="0" relativeHeight="251658240" behindDoc="0" locked="0" layoutInCell="1" allowOverlap="1" wp14:anchorId="1B61B11D" wp14:editId="55EB53F0">
            <wp:simplePos x="0" y="0"/>
            <wp:positionH relativeFrom="margin">
              <wp:align>center</wp:align>
            </wp:positionH>
            <wp:positionV relativeFrom="margin">
              <wp:posOffset>3219450</wp:posOffset>
            </wp:positionV>
            <wp:extent cx="6431915" cy="4629150"/>
            <wp:effectExtent l="0" t="0" r="6985" b="0"/>
            <wp:wrapSquare wrapText="bothSides"/>
            <wp:docPr id="110418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15" cy="462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42C6">
        <w:rPr>
          <w:sz w:val="24"/>
          <w:szCs w:val="24"/>
          <w:lang w:val="pt-BR"/>
        </w:rPr>
        <w:t>Vale destacar que por ser uma matéria-prima utilizada na produção de outros alimentos presentes no IPCA, como maionese, margarina e produtos industrializados, o impacto do preço do óleo de soja sobre a inflação pode ser, em certa medida, maior do que o indicado diretamente. No entanto, como seu custo representa apenas uma fração do preço final da maioria desses produtos, esse efeito tende a ser diluído ao longo da cadeia produtiva.</w:t>
      </w:r>
    </w:p>
    <w:p w14:paraId="35F40F57" w14:textId="2B5043E8" w:rsidR="00F942C6" w:rsidRDefault="00930AE0" w:rsidP="00F942C6">
      <w:pPr>
        <w:jc w:val="both"/>
        <w:rPr>
          <w:sz w:val="24"/>
          <w:szCs w:val="24"/>
          <w:lang w:val="pt-BR"/>
        </w:rPr>
      </w:pPr>
      <w:r>
        <w:rPr>
          <w:noProof/>
          <w:sz w:val="24"/>
          <w:szCs w:val="24"/>
          <w:lang w:val="pt-BR"/>
        </w:rPr>
        <w:lastRenderedPageBreak/>
        <w:drawing>
          <wp:anchor distT="0" distB="0" distL="114300" distR="114300" simplePos="0" relativeHeight="251659264" behindDoc="0" locked="0" layoutInCell="1" allowOverlap="1" wp14:anchorId="7A06D813" wp14:editId="4149E263">
            <wp:simplePos x="0" y="0"/>
            <wp:positionH relativeFrom="margin">
              <wp:align>center</wp:align>
            </wp:positionH>
            <wp:positionV relativeFrom="margin">
              <wp:posOffset>1828800</wp:posOffset>
            </wp:positionV>
            <wp:extent cx="6151245" cy="5200650"/>
            <wp:effectExtent l="0" t="0" r="0" b="0"/>
            <wp:wrapSquare wrapText="bothSides"/>
            <wp:docPr id="16315982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520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942C6" w:rsidRPr="00F942C6">
        <w:rPr>
          <w:sz w:val="24"/>
          <w:szCs w:val="24"/>
          <w:lang w:val="pt-BR"/>
        </w:rPr>
        <w:t xml:space="preserve">Por fim, é importante lembrar que, como vínhamos discutindo em nossos últimos materiais, </w:t>
      </w:r>
      <w:r w:rsidR="00F942C6" w:rsidRPr="00F942C6">
        <w:rPr>
          <w:b/>
          <w:bCs/>
          <w:sz w:val="24"/>
          <w:szCs w:val="24"/>
          <w:lang w:val="pt-BR"/>
        </w:rPr>
        <w:t xml:space="preserve">embora o aumento de preços do óleo e do biodiesel tenha sido expressivo em 2024, a elevação da mistura para 15% em 2025 não necessariamente sustentaria avanços de mesma intensidade nesse ano. </w:t>
      </w:r>
      <w:r w:rsidR="00F942C6" w:rsidRPr="00F942C6">
        <w:rPr>
          <w:sz w:val="24"/>
          <w:szCs w:val="24"/>
          <w:lang w:val="pt-BR"/>
        </w:rPr>
        <w:t>Isso porque o avanço seria mais suave em comparação aos aumentos anteriores — de 10% para 12% em 2023 e de 12% para 14% em 2024. Além disso, a expectativa de uma safra recorde deve impulsionar o esmagamento, contribuindo para uma maior disponibilidade do óleo e ajudando a equilibrar o balanço de oferta e demanda doméstico.</w:t>
      </w:r>
    </w:p>
    <w:p w14:paraId="7816A6EA" w14:textId="4476FE96" w:rsidR="00F942C6" w:rsidRDefault="00F942C6" w:rsidP="00F942C6">
      <w:pPr>
        <w:jc w:val="both"/>
        <w:rPr>
          <w:sz w:val="24"/>
          <w:szCs w:val="24"/>
          <w:lang w:val="pt-BR"/>
        </w:rPr>
      </w:pPr>
    </w:p>
    <w:p w14:paraId="7BFCBA0D" w14:textId="7DC28AB5" w:rsidR="00F942C6" w:rsidRPr="00F942C6" w:rsidRDefault="00F942C6" w:rsidP="00F942C6">
      <w:pPr>
        <w:jc w:val="both"/>
        <w:rPr>
          <w:sz w:val="24"/>
          <w:szCs w:val="24"/>
          <w:lang w:val="pt-BR"/>
        </w:rPr>
      </w:pPr>
    </w:p>
    <w:sectPr w:rsidR="00F942C6" w:rsidRPr="00F94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C6"/>
    <w:rsid w:val="001B47C8"/>
    <w:rsid w:val="00897982"/>
    <w:rsid w:val="00930AE0"/>
    <w:rsid w:val="00AC0020"/>
    <w:rsid w:val="00F942C6"/>
    <w:rsid w:val="00FE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3CEFACA"/>
  <w15:chartTrackingRefBased/>
  <w15:docId w15:val="{0AA41AF7-9B8D-4382-918E-BD2F4BC7A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4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2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2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2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2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2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2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2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2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2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2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2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2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Barboza</dc:creator>
  <cp:keywords/>
  <dc:description/>
  <cp:lastModifiedBy>Carolina Barboza</cp:lastModifiedBy>
  <cp:revision>1</cp:revision>
  <dcterms:created xsi:type="dcterms:W3CDTF">2025-02-18T19:32:00Z</dcterms:created>
  <dcterms:modified xsi:type="dcterms:W3CDTF">2025-02-18T19:44:00Z</dcterms:modified>
</cp:coreProperties>
</file>