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EA7F" w14:textId="77777777" w:rsidR="008E4D9D" w:rsidRPr="000D3BDD" w:rsidRDefault="008E4D9D" w:rsidP="008E4D9D">
      <w:pPr>
        <w:pStyle w:val="SemEspaamento"/>
        <w:rPr>
          <w:b/>
          <w:bCs/>
          <w:sz w:val="36"/>
          <w:szCs w:val="36"/>
        </w:rPr>
      </w:pPr>
      <w:r w:rsidRPr="000D3BDD">
        <w:rPr>
          <w:b/>
          <w:bCs/>
          <w:sz w:val="36"/>
          <w:szCs w:val="36"/>
        </w:rPr>
        <w:t xml:space="preserve">StoneX projeta aumento na produção total de algodão no Brasil para </w:t>
      </w:r>
      <w:r w:rsidRPr="000D3BDD">
        <w:rPr>
          <w:b/>
          <w:bCs/>
          <w:sz w:val="36"/>
          <w:szCs w:val="36"/>
        </w:rPr>
        <w:t>3,76</w:t>
      </w:r>
      <w:r w:rsidRPr="000D3BDD">
        <w:rPr>
          <w:b/>
          <w:bCs/>
          <w:sz w:val="36"/>
          <w:szCs w:val="36"/>
        </w:rPr>
        <w:t xml:space="preserve"> mi </w:t>
      </w:r>
      <w:proofErr w:type="spellStart"/>
      <w:r w:rsidRPr="000D3BDD">
        <w:rPr>
          <w:b/>
          <w:bCs/>
          <w:sz w:val="36"/>
          <w:szCs w:val="36"/>
        </w:rPr>
        <w:t>ton</w:t>
      </w:r>
      <w:proofErr w:type="spellEnd"/>
    </w:p>
    <w:p w14:paraId="7463E0C4" w14:textId="77777777" w:rsidR="008E4D9D" w:rsidRDefault="008E4D9D" w:rsidP="008E4D9D">
      <w:pPr>
        <w:pStyle w:val="SemEspaamento"/>
      </w:pPr>
    </w:p>
    <w:p w14:paraId="3E0421A1" w14:textId="09A8F217" w:rsidR="008E4D9D" w:rsidRPr="000D3BDD" w:rsidRDefault="008E4D9D" w:rsidP="008E4D9D">
      <w:pPr>
        <w:pStyle w:val="SemEspaamento"/>
        <w:rPr>
          <w:sz w:val="28"/>
          <w:szCs w:val="28"/>
        </w:rPr>
      </w:pPr>
      <w:r w:rsidRPr="000D3BDD">
        <w:rPr>
          <w:sz w:val="28"/>
          <w:szCs w:val="28"/>
        </w:rPr>
        <w:t xml:space="preserve">O ganho, que representa </w:t>
      </w:r>
      <w:r w:rsidRPr="000D3BDD">
        <w:rPr>
          <w:sz w:val="28"/>
          <w:szCs w:val="28"/>
        </w:rPr>
        <w:t>3,9%</w:t>
      </w:r>
      <w:r w:rsidRPr="000D3BDD">
        <w:rPr>
          <w:sz w:val="28"/>
          <w:szCs w:val="28"/>
        </w:rPr>
        <w:t xml:space="preserve"> no comparativo anual, reflete o </w:t>
      </w:r>
      <w:r w:rsidRPr="000D3BDD">
        <w:rPr>
          <w:sz w:val="28"/>
          <w:szCs w:val="28"/>
        </w:rPr>
        <w:t xml:space="preserve">desenvolvimento saudável </w:t>
      </w:r>
      <w:r w:rsidRPr="000D3BDD">
        <w:rPr>
          <w:sz w:val="28"/>
          <w:szCs w:val="28"/>
        </w:rPr>
        <w:t>n</w:t>
      </w:r>
      <w:r w:rsidRPr="000D3BDD">
        <w:rPr>
          <w:sz w:val="28"/>
          <w:szCs w:val="28"/>
        </w:rPr>
        <w:t>as lavouras</w:t>
      </w:r>
      <w:r w:rsidRPr="000D3BDD">
        <w:rPr>
          <w:sz w:val="28"/>
          <w:szCs w:val="28"/>
        </w:rPr>
        <w:t xml:space="preserve"> baianas</w:t>
      </w:r>
    </w:p>
    <w:p w14:paraId="4E736364" w14:textId="77777777" w:rsidR="008E4D9D" w:rsidRDefault="008E4D9D" w:rsidP="008E4D9D">
      <w:pPr>
        <w:pStyle w:val="SemEspaamento"/>
      </w:pPr>
    </w:p>
    <w:p w14:paraId="67612266" w14:textId="77777777" w:rsidR="00A54EA3" w:rsidRDefault="00A54EA3" w:rsidP="00A54EA3">
      <w:pPr>
        <w:pStyle w:val="SemEspaamento"/>
      </w:pPr>
      <w:r>
        <w:t xml:space="preserve">A safra brasileira 2024/25 de algodão deve receber um incremento de 3,9% no comparativo anual, para 3,76 milhões de toneladas, segundo divulgou a StoneX nesta terça-feira (25). A revisão foi incentivada pelo desenvolvimento saudável na Bahia, o que deve garantir bons níveis de produtividade para o estado, com potencial para atingir 729 mil toneladas. </w:t>
      </w:r>
    </w:p>
    <w:p w14:paraId="14717E18" w14:textId="77777777" w:rsidR="00A54EA3" w:rsidRDefault="00A54EA3" w:rsidP="00A54EA3">
      <w:pPr>
        <w:pStyle w:val="SemEspaamento"/>
      </w:pPr>
      <w:r>
        <w:t>Já no Mato Grosso, os rendimentos devem ser determinados pelas condições das lavouras daqui para frente, com o mês de abril sendo um mês chave para os níveis de produtividade.</w:t>
      </w:r>
    </w:p>
    <w:p w14:paraId="60FF2CCB" w14:textId="6E362620" w:rsidR="00A54EA3" w:rsidRDefault="00A54EA3" w:rsidP="00A54EA3">
      <w:pPr>
        <w:pStyle w:val="SemEspaamento"/>
      </w:pPr>
      <w:r>
        <w:t>O ajuste da produção total deve garantir estoques de passagem ligeiramente maiores, sendo estimados em 2,6 milhões de toneladas.</w:t>
      </w:r>
    </w:p>
    <w:p w14:paraId="28D9BB5D" w14:textId="5BCE9787" w:rsidR="008E4D9D" w:rsidRDefault="00A54EA3" w:rsidP="00A54EA3">
      <w:pPr>
        <w:pStyle w:val="SemEspaamento"/>
      </w:pPr>
      <w:r>
        <w:t>Apesar das últimas semanas registrarem um aumento dos preços domésticos e um desaquecimento das exportações de algodão brasileiro, após o recorde visto em janeiro, o Brasil segue tendo ampla disponibilidade para garantir os embarques dentro da estimativa – que é de 2,9 milhões de toneladas – até o encerramento do ano.</w:t>
      </w:r>
    </w:p>
    <w:p w14:paraId="6B68DE8E" w14:textId="1F97F461" w:rsidR="00A54EA3" w:rsidRDefault="00A54EA3" w:rsidP="00A54EA3">
      <w:pPr>
        <w:pStyle w:val="SemEspaamento"/>
      </w:pPr>
      <w:r w:rsidRPr="00A54EA3">
        <w:drawing>
          <wp:anchor distT="0" distB="0" distL="114300" distR="114300" simplePos="0" relativeHeight="251658240" behindDoc="0" locked="0" layoutInCell="1" allowOverlap="1" wp14:anchorId="78090B25" wp14:editId="2386FB04">
            <wp:simplePos x="0" y="0"/>
            <wp:positionH relativeFrom="margin">
              <wp:align>center</wp:align>
            </wp:positionH>
            <wp:positionV relativeFrom="margin">
              <wp:posOffset>4379595</wp:posOffset>
            </wp:positionV>
            <wp:extent cx="6433185" cy="3223895"/>
            <wp:effectExtent l="0" t="0" r="5715" b="0"/>
            <wp:wrapSquare wrapText="bothSides"/>
            <wp:docPr id="1193798309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98309" name="Imagem 1" descr="Tabela&#10;&#10;O conteúdo gerado por IA pode estar incorre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18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74D3A" w14:textId="66098B07" w:rsidR="00A54EA3" w:rsidRDefault="00A54EA3" w:rsidP="00A54EA3">
      <w:pPr>
        <w:pStyle w:val="SemEspaamento"/>
      </w:pPr>
    </w:p>
    <w:p w14:paraId="3CB6472E" w14:textId="7357F3CA" w:rsidR="00A54EA3" w:rsidRDefault="00A54EA3" w:rsidP="00A54EA3">
      <w:pPr>
        <w:pStyle w:val="SemEspaamento"/>
      </w:pPr>
      <w:r w:rsidRPr="00A54EA3">
        <w:lastRenderedPageBreak/>
        <w:drawing>
          <wp:inline distT="0" distB="0" distL="0" distR="0" wp14:anchorId="103084F2" wp14:editId="536272C8">
            <wp:extent cx="5400040" cy="2218055"/>
            <wp:effectExtent l="0" t="0" r="0" b="0"/>
            <wp:docPr id="1882841361" name="Imagem 1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41361" name="Imagem 1" descr="Tabela&#10;&#10;O conteúdo gerado por IA pode estar incorre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E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9D"/>
    <w:rsid w:val="000D3BDD"/>
    <w:rsid w:val="00370D6C"/>
    <w:rsid w:val="00391D2F"/>
    <w:rsid w:val="008E4D9D"/>
    <w:rsid w:val="00A54EA3"/>
    <w:rsid w:val="00CE6C2B"/>
    <w:rsid w:val="00F7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B922"/>
  <w15:chartTrackingRefBased/>
  <w15:docId w15:val="{2307C51E-DFEF-4F92-A271-C1F8A043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E4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D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D9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D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D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D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D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D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D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D9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D9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D9D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8E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Barboza</dc:creator>
  <cp:keywords/>
  <dc:description/>
  <cp:lastModifiedBy>Carolina Barboza</cp:lastModifiedBy>
  <cp:revision>1</cp:revision>
  <dcterms:created xsi:type="dcterms:W3CDTF">2025-03-25T10:57:00Z</dcterms:created>
  <dcterms:modified xsi:type="dcterms:W3CDTF">2025-03-25T12:33:00Z</dcterms:modified>
</cp:coreProperties>
</file>