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12B2A" w14:textId="77777777" w:rsidR="00594A71" w:rsidRPr="00594A71" w:rsidRDefault="00594A71" w:rsidP="003C3632">
      <w:pPr>
        <w:pStyle w:val="NoSpacing"/>
        <w:jc w:val="both"/>
        <w:rPr>
          <w:b/>
          <w:bCs/>
          <w:sz w:val="36"/>
          <w:szCs w:val="36"/>
          <w:lang w:val="pt-BR"/>
        </w:rPr>
      </w:pPr>
      <w:r w:rsidRPr="00594A71">
        <w:rPr>
          <w:b/>
          <w:bCs/>
          <w:sz w:val="36"/>
          <w:szCs w:val="36"/>
          <w:lang w:val="pt-BR"/>
        </w:rPr>
        <w:t>Seca reduz potencial da soja, mas expectativa ainda é de recorde</w:t>
      </w:r>
    </w:p>
    <w:p w14:paraId="4106A9BE" w14:textId="77777777" w:rsidR="00594A71" w:rsidRDefault="00594A71" w:rsidP="003C3632">
      <w:pPr>
        <w:pStyle w:val="NoSpacing"/>
        <w:jc w:val="both"/>
        <w:rPr>
          <w:sz w:val="24"/>
          <w:szCs w:val="24"/>
          <w:lang w:val="pt-BR"/>
        </w:rPr>
      </w:pPr>
    </w:p>
    <w:p w14:paraId="04E92C8D" w14:textId="4B18990A" w:rsidR="00594A71" w:rsidRPr="00594A71" w:rsidRDefault="00594A71" w:rsidP="003C3632">
      <w:pPr>
        <w:pStyle w:val="NoSpacing"/>
        <w:jc w:val="both"/>
        <w:rPr>
          <w:sz w:val="28"/>
          <w:szCs w:val="28"/>
          <w:lang w:val="pt-BR"/>
        </w:rPr>
      </w:pPr>
      <w:r w:rsidRPr="00594A71">
        <w:rPr>
          <w:sz w:val="28"/>
          <w:szCs w:val="28"/>
          <w:lang w:val="pt-BR"/>
        </w:rPr>
        <w:t>StoneX revis</w:t>
      </w:r>
      <w:r>
        <w:rPr>
          <w:sz w:val="28"/>
          <w:szCs w:val="28"/>
          <w:lang w:val="pt-BR"/>
        </w:rPr>
        <w:t>a</w:t>
      </w:r>
      <w:r w:rsidRPr="00594A71">
        <w:rPr>
          <w:sz w:val="28"/>
          <w:szCs w:val="28"/>
          <w:lang w:val="pt-BR"/>
        </w:rPr>
        <w:t xml:space="preserve"> sua estimativa de </w:t>
      </w:r>
      <w:r w:rsidRPr="00594A71">
        <w:rPr>
          <w:sz w:val="28"/>
          <w:szCs w:val="28"/>
          <w:lang w:val="pt-BR"/>
        </w:rPr>
        <w:t>soja 24/25 do Brasil</w:t>
      </w:r>
      <w:r w:rsidRPr="00594A71">
        <w:rPr>
          <w:sz w:val="28"/>
          <w:szCs w:val="28"/>
          <w:lang w:val="pt-BR"/>
        </w:rPr>
        <w:t xml:space="preserve"> para </w:t>
      </w:r>
      <w:r w:rsidRPr="00594A71">
        <w:rPr>
          <w:sz w:val="28"/>
          <w:szCs w:val="28"/>
          <w:lang w:val="pt-BR"/>
        </w:rPr>
        <w:t xml:space="preserve">170,9 </w:t>
      </w:r>
      <w:r w:rsidRPr="00594A71">
        <w:rPr>
          <w:sz w:val="28"/>
          <w:szCs w:val="28"/>
          <w:lang w:val="pt-BR"/>
        </w:rPr>
        <w:t xml:space="preserve">mi </w:t>
      </w:r>
      <w:proofErr w:type="spellStart"/>
      <w:r w:rsidRPr="00594A71">
        <w:rPr>
          <w:sz w:val="28"/>
          <w:szCs w:val="28"/>
          <w:lang w:val="pt-BR"/>
        </w:rPr>
        <w:t>ton</w:t>
      </w:r>
      <w:proofErr w:type="spellEnd"/>
      <w:r w:rsidRPr="00594A71">
        <w:rPr>
          <w:sz w:val="28"/>
          <w:szCs w:val="28"/>
          <w:lang w:val="pt-BR"/>
        </w:rPr>
        <w:t xml:space="preserve">, </w:t>
      </w:r>
      <w:r w:rsidRPr="00594A71">
        <w:rPr>
          <w:sz w:val="28"/>
          <w:szCs w:val="28"/>
          <w:lang w:val="pt-BR"/>
        </w:rPr>
        <w:t xml:space="preserve">devido à seca </w:t>
      </w:r>
      <w:r w:rsidRPr="00594A71">
        <w:rPr>
          <w:sz w:val="28"/>
          <w:szCs w:val="28"/>
          <w:lang w:val="pt-BR"/>
        </w:rPr>
        <w:t>em áreas dos estados do RS, PR e MS</w:t>
      </w:r>
    </w:p>
    <w:p w14:paraId="4FEF3AE8" w14:textId="77777777" w:rsidR="00594A71" w:rsidRDefault="00594A71" w:rsidP="003C3632">
      <w:pPr>
        <w:pStyle w:val="NoSpacing"/>
        <w:jc w:val="both"/>
        <w:rPr>
          <w:sz w:val="24"/>
          <w:szCs w:val="24"/>
          <w:lang w:val="pt-BR"/>
        </w:rPr>
      </w:pPr>
    </w:p>
    <w:p w14:paraId="0E755108" w14:textId="682BBE51" w:rsidR="003C3632" w:rsidRPr="003C3632" w:rsidRDefault="003C3632" w:rsidP="003C3632">
      <w:pPr>
        <w:pStyle w:val="NoSpacing"/>
        <w:jc w:val="both"/>
        <w:rPr>
          <w:sz w:val="24"/>
          <w:szCs w:val="24"/>
          <w:lang w:val="pt-BR"/>
        </w:rPr>
      </w:pPr>
      <w:r w:rsidRPr="003C3632">
        <w:rPr>
          <w:sz w:val="24"/>
          <w:szCs w:val="24"/>
          <w:lang w:val="pt-BR"/>
        </w:rPr>
        <w:t xml:space="preserve">Em sua revisão de fevereiro, a StoneX </w:t>
      </w:r>
      <w:r w:rsidR="00594A71">
        <w:rPr>
          <w:sz w:val="24"/>
          <w:szCs w:val="24"/>
          <w:lang w:val="pt-BR"/>
        </w:rPr>
        <w:t>apresentou</w:t>
      </w:r>
      <w:r w:rsidRPr="003C3632">
        <w:rPr>
          <w:sz w:val="24"/>
          <w:szCs w:val="24"/>
          <w:lang w:val="pt-BR"/>
        </w:rPr>
        <w:t xml:space="preserve"> um pequeno recuo na estimativa de produção de soja 24/25 do Brasil, </w:t>
      </w:r>
      <w:r w:rsidR="00594A71">
        <w:rPr>
          <w:sz w:val="24"/>
          <w:szCs w:val="24"/>
          <w:lang w:val="pt-BR"/>
        </w:rPr>
        <w:t>para</w:t>
      </w:r>
      <w:r w:rsidRPr="003C3632">
        <w:rPr>
          <w:sz w:val="24"/>
          <w:szCs w:val="24"/>
          <w:lang w:val="pt-BR"/>
        </w:rPr>
        <w:t xml:space="preserve"> 170,9 milhões de toneladas</w:t>
      </w:r>
      <w:r w:rsidR="00594A71">
        <w:rPr>
          <w:sz w:val="24"/>
          <w:szCs w:val="24"/>
          <w:lang w:val="pt-BR"/>
        </w:rPr>
        <w:t xml:space="preserve"> (contra </w:t>
      </w:r>
      <w:r w:rsidR="00594A71" w:rsidRPr="00594A71">
        <w:rPr>
          <w:sz w:val="24"/>
          <w:szCs w:val="24"/>
          <w:lang w:val="pt-BR"/>
        </w:rPr>
        <w:t>171</w:t>
      </w:r>
      <w:r w:rsidR="00594A71" w:rsidRPr="003C3632">
        <w:rPr>
          <w:sz w:val="24"/>
          <w:szCs w:val="24"/>
          <w:lang w:val="pt-BR"/>
        </w:rPr>
        <w:t>,</w:t>
      </w:r>
      <w:r w:rsidR="00594A71" w:rsidRPr="00594A71">
        <w:rPr>
          <w:sz w:val="24"/>
          <w:szCs w:val="24"/>
          <w:lang w:val="pt-BR"/>
        </w:rPr>
        <w:t>385</w:t>
      </w:r>
      <w:r w:rsidR="00594A71">
        <w:rPr>
          <w:sz w:val="24"/>
          <w:szCs w:val="24"/>
          <w:lang w:val="pt-BR"/>
        </w:rPr>
        <w:t xml:space="preserve"> </w:t>
      </w:r>
      <w:r w:rsidR="00594A71" w:rsidRPr="003C3632">
        <w:rPr>
          <w:sz w:val="24"/>
          <w:szCs w:val="24"/>
          <w:lang w:val="pt-BR"/>
        </w:rPr>
        <w:t>milhões de toneladas</w:t>
      </w:r>
      <w:r w:rsidR="00594A71">
        <w:rPr>
          <w:sz w:val="24"/>
          <w:szCs w:val="24"/>
          <w:lang w:val="pt-BR"/>
        </w:rPr>
        <w:t xml:space="preserve"> divulgadas no relatório anterior)</w:t>
      </w:r>
      <w:r w:rsidRPr="003C3632">
        <w:rPr>
          <w:sz w:val="24"/>
          <w:szCs w:val="24"/>
          <w:lang w:val="pt-BR"/>
        </w:rPr>
        <w:t xml:space="preserve">, nível que ainda </w:t>
      </w:r>
      <w:r w:rsidR="00594A71">
        <w:rPr>
          <w:sz w:val="24"/>
          <w:szCs w:val="24"/>
          <w:lang w:val="pt-BR"/>
        </w:rPr>
        <w:t>representaria um</w:t>
      </w:r>
      <w:r w:rsidRPr="003C3632">
        <w:rPr>
          <w:sz w:val="24"/>
          <w:szCs w:val="24"/>
          <w:lang w:val="pt-BR"/>
        </w:rPr>
        <w:t xml:space="preserve"> recorde.</w:t>
      </w:r>
    </w:p>
    <w:p w14:paraId="45B255EE" w14:textId="4A59BC70" w:rsidR="003C3632" w:rsidRPr="003C3632" w:rsidRDefault="00594A71" w:rsidP="003C3632">
      <w:pPr>
        <w:pStyle w:val="NoSpacing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“</w:t>
      </w:r>
      <w:r w:rsidR="003C3632" w:rsidRPr="003C3632">
        <w:rPr>
          <w:sz w:val="24"/>
          <w:szCs w:val="24"/>
          <w:lang w:val="pt-BR"/>
        </w:rPr>
        <w:t>Houve ajustes em praticamente todo o país</w:t>
      </w:r>
      <w:r>
        <w:rPr>
          <w:sz w:val="24"/>
          <w:szCs w:val="24"/>
          <w:lang w:val="pt-BR"/>
        </w:rPr>
        <w:t>, com d</w:t>
      </w:r>
      <w:r w:rsidR="003C3632" w:rsidRPr="003C3632">
        <w:rPr>
          <w:sz w:val="24"/>
          <w:szCs w:val="24"/>
          <w:lang w:val="pt-BR"/>
        </w:rPr>
        <w:t>estaque para os cortes no Rio Grande do Sul, Paraná e Mato Grosso do Sul, devido à seca que predominou desde o final de dezembro e em boa parte de janeiro, em áreas desses estados</w:t>
      </w:r>
      <w:r>
        <w:rPr>
          <w:sz w:val="24"/>
          <w:szCs w:val="24"/>
          <w:lang w:val="pt-BR"/>
        </w:rPr>
        <w:t>”, explica a especialista de inteligência de mercado da StoneX, Ana Luiza Lodi.</w:t>
      </w:r>
    </w:p>
    <w:p w14:paraId="659763E0" w14:textId="146E86CE" w:rsidR="003C3632" w:rsidRPr="003C3632" w:rsidRDefault="003C3632" w:rsidP="003C3632">
      <w:pPr>
        <w:pStyle w:val="NoSpacing"/>
        <w:jc w:val="both"/>
        <w:rPr>
          <w:sz w:val="24"/>
          <w:szCs w:val="24"/>
          <w:lang w:val="pt-BR"/>
        </w:rPr>
      </w:pPr>
      <w:r w:rsidRPr="003C3632">
        <w:rPr>
          <w:sz w:val="24"/>
          <w:szCs w:val="24"/>
          <w:lang w:val="pt-BR"/>
        </w:rPr>
        <w:t xml:space="preserve">Por outro lado, </w:t>
      </w:r>
      <w:r w:rsidR="00594A71">
        <w:rPr>
          <w:sz w:val="24"/>
          <w:szCs w:val="24"/>
          <w:lang w:val="pt-BR"/>
        </w:rPr>
        <w:t xml:space="preserve">o grupo afirma que </w:t>
      </w:r>
      <w:r w:rsidRPr="003C3632">
        <w:rPr>
          <w:sz w:val="24"/>
          <w:szCs w:val="24"/>
          <w:lang w:val="pt-BR"/>
        </w:rPr>
        <w:t xml:space="preserve">outras </w:t>
      </w:r>
      <w:r w:rsidR="00594A71" w:rsidRPr="003C3632">
        <w:rPr>
          <w:sz w:val="24"/>
          <w:szCs w:val="24"/>
          <w:lang w:val="pt-BR"/>
        </w:rPr>
        <w:t xml:space="preserve">grandes </w:t>
      </w:r>
      <w:r w:rsidRPr="003C3632">
        <w:rPr>
          <w:sz w:val="24"/>
          <w:szCs w:val="24"/>
          <w:lang w:val="pt-BR"/>
        </w:rPr>
        <w:t xml:space="preserve">regiões </w:t>
      </w:r>
      <w:r w:rsidR="00594A71">
        <w:rPr>
          <w:sz w:val="24"/>
          <w:szCs w:val="24"/>
          <w:lang w:val="pt-BR"/>
        </w:rPr>
        <w:t xml:space="preserve">do país </w:t>
      </w:r>
      <w:r w:rsidRPr="003C3632">
        <w:rPr>
          <w:sz w:val="24"/>
          <w:szCs w:val="24"/>
          <w:lang w:val="pt-BR"/>
        </w:rPr>
        <w:t>estão registrando condições muito favoráveis</w:t>
      </w:r>
      <w:r w:rsidR="00594A71">
        <w:rPr>
          <w:sz w:val="24"/>
          <w:szCs w:val="24"/>
          <w:lang w:val="pt-BR"/>
        </w:rPr>
        <w:t xml:space="preserve">, com </w:t>
      </w:r>
      <w:r w:rsidRPr="003C3632">
        <w:rPr>
          <w:sz w:val="24"/>
          <w:szCs w:val="24"/>
          <w:lang w:val="pt-BR"/>
        </w:rPr>
        <w:t xml:space="preserve">resultados iniciais da colheita surpreendendo positivamente, o que acabou compensando boa parte das perdas de potencial produtivo </w:t>
      </w:r>
      <w:r w:rsidR="00594A71">
        <w:rPr>
          <w:sz w:val="24"/>
          <w:szCs w:val="24"/>
          <w:lang w:val="pt-BR"/>
        </w:rPr>
        <w:t>causadas pel</w:t>
      </w:r>
      <w:r w:rsidRPr="003C3632">
        <w:rPr>
          <w:sz w:val="24"/>
          <w:szCs w:val="24"/>
          <w:lang w:val="pt-BR"/>
        </w:rPr>
        <w:t>a seca.</w:t>
      </w:r>
    </w:p>
    <w:p w14:paraId="7BDF6F19" w14:textId="0A7BA0CB" w:rsidR="003C3632" w:rsidRPr="003C3632" w:rsidRDefault="003C3632" w:rsidP="003C3632">
      <w:pPr>
        <w:pStyle w:val="NoSpacing"/>
        <w:jc w:val="both"/>
        <w:rPr>
          <w:sz w:val="24"/>
          <w:szCs w:val="24"/>
          <w:lang w:val="pt-BR"/>
        </w:rPr>
      </w:pPr>
      <w:r w:rsidRPr="003C3632">
        <w:rPr>
          <w:sz w:val="24"/>
          <w:szCs w:val="24"/>
          <w:lang w:val="pt-BR"/>
        </w:rPr>
        <w:t xml:space="preserve">De qualquer forma, o clima continua sendo central, principalmente onde o plantio é mais tardio, como no Rio Grande do Sul, enquanto o avanço da colheita vai dar mais </w:t>
      </w:r>
      <w:r w:rsidR="00594A71" w:rsidRPr="00594A71">
        <w:rPr>
          <w:sz w:val="24"/>
          <w:szCs w:val="24"/>
          <w:lang w:val="pt-BR"/>
        </w:rPr>
        <w:t xml:space="preserve">precisão </w:t>
      </w:r>
      <w:r w:rsidRPr="003C3632">
        <w:rPr>
          <w:sz w:val="24"/>
          <w:szCs w:val="24"/>
          <w:lang w:val="pt-BR"/>
        </w:rPr>
        <w:t>aos números estimados.</w:t>
      </w:r>
    </w:p>
    <w:p w14:paraId="07414382" w14:textId="73810273" w:rsidR="003C3632" w:rsidRPr="003C3632" w:rsidRDefault="00594A71" w:rsidP="003C3632">
      <w:pPr>
        <w:pStyle w:val="NoSpacing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Em relação ao b</w:t>
      </w:r>
      <w:r w:rsidR="003C3632" w:rsidRPr="003C3632">
        <w:rPr>
          <w:sz w:val="24"/>
          <w:szCs w:val="24"/>
          <w:lang w:val="pt-BR"/>
        </w:rPr>
        <w:t>alanço de oferta e demanda</w:t>
      </w:r>
      <w:r>
        <w:rPr>
          <w:sz w:val="24"/>
          <w:szCs w:val="24"/>
          <w:lang w:val="pt-BR"/>
        </w:rPr>
        <w:t xml:space="preserve">, a StoneX calculou </w:t>
      </w:r>
      <w:r w:rsidR="003C3632" w:rsidRPr="003C3632">
        <w:rPr>
          <w:sz w:val="24"/>
          <w:szCs w:val="24"/>
          <w:lang w:val="pt-BR"/>
        </w:rPr>
        <w:t>aumento das exportações estimadas, para 108,5 milhões de toneladas</w:t>
      </w:r>
      <w:r>
        <w:rPr>
          <w:sz w:val="24"/>
          <w:szCs w:val="24"/>
          <w:lang w:val="pt-BR"/>
        </w:rPr>
        <w:t>, ressaltando que mudanç</w:t>
      </w:r>
      <w:r w:rsidR="003C3632" w:rsidRPr="003C3632">
        <w:rPr>
          <w:sz w:val="24"/>
          <w:szCs w:val="24"/>
          <w:lang w:val="pt-BR"/>
        </w:rPr>
        <w:t xml:space="preserve">as significativas poderão ocorrer, </w:t>
      </w:r>
      <w:r w:rsidR="00C12F65">
        <w:rPr>
          <w:sz w:val="24"/>
          <w:szCs w:val="24"/>
          <w:lang w:val="pt-BR"/>
        </w:rPr>
        <w:t>principalmente considerando</w:t>
      </w:r>
      <w:r w:rsidR="003C3632" w:rsidRPr="003C3632">
        <w:rPr>
          <w:sz w:val="24"/>
          <w:szCs w:val="24"/>
          <w:lang w:val="pt-BR"/>
        </w:rPr>
        <w:t xml:space="preserve"> as tensões entre EUA e China, que podem se refletir no mercado nacional de soja.</w:t>
      </w:r>
    </w:p>
    <w:p w14:paraId="6DC78A7F" w14:textId="77777777" w:rsidR="003C3632" w:rsidRDefault="003C3632" w:rsidP="003C3632">
      <w:pPr>
        <w:pStyle w:val="NoSpacing"/>
        <w:jc w:val="both"/>
        <w:rPr>
          <w:sz w:val="24"/>
          <w:szCs w:val="24"/>
          <w:lang w:val="pt-BR"/>
        </w:rPr>
      </w:pPr>
      <w:r w:rsidRPr="003C3632">
        <w:rPr>
          <w:sz w:val="24"/>
          <w:szCs w:val="24"/>
          <w:lang w:val="pt-BR"/>
        </w:rPr>
        <w:t>Quanto à safra 23/24, foram incluídos os números fechados da balança comercial de 2024, com as exportações de soja terminando o ano passado em 98,8 milhões de toneladas, enquanto as importações ficaram em 820 mil toneladas.</w:t>
      </w:r>
    </w:p>
    <w:p w14:paraId="46AB2C31" w14:textId="77777777" w:rsidR="004C65C5" w:rsidRDefault="004C65C5" w:rsidP="003C3632">
      <w:pPr>
        <w:pStyle w:val="NoSpacing"/>
        <w:jc w:val="both"/>
        <w:rPr>
          <w:sz w:val="24"/>
          <w:szCs w:val="24"/>
          <w:lang w:val="pt-BR"/>
        </w:rPr>
      </w:pPr>
    </w:p>
    <w:p w14:paraId="1EEDD1E9" w14:textId="3857797B" w:rsidR="004C65C5" w:rsidRPr="003C3632" w:rsidRDefault="004C65C5" w:rsidP="003C3632">
      <w:pPr>
        <w:pStyle w:val="NoSpacing"/>
        <w:jc w:val="both"/>
        <w:rPr>
          <w:sz w:val="24"/>
          <w:szCs w:val="24"/>
          <w:lang w:val="pt-BR"/>
        </w:rPr>
      </w:pPr>
      <w:r>
        <w:rPr>
          <w:noProof/>
          <w:sz w:val="24"/>
          <w:szCs w:val="24"/>
          <w:lang w:val="pt-BR"/>
        </w:rPr>
        <w:lastRenderedPageBreak/>
        <w:drawing>
          <wp:anchor distT="0" distB="0" distL="114300" distR="114300" simplePos="0" relativeHeight="251658240" behindDoc="0" locked="0" layoutInCell="1" allowOverlap="1" wp14:anchorId="0896E44B" wp14:editId="3398A173">
            <wp:simplePos x="0" y="0"/>
            <wp:positionH relativeFrom="margin">
              <wp:align>center</wp:align>
            </wp:positionH>
            <wp:positionV relativeFrom="margin">
              <wp:posOffset>-635</wp:posOffset>
            </wp:positionV>
            <wp:extent cx="6943725" cy="4053840"/>
            <wp:effectExtent l="0" t="0" r="9525" b="3810"/>
            <wp:wrapSquare wrapText="bothSides"/>
            <wp:docPr id="4843805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405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DACEA" w14:textId="691DEA0B" w:rsidR="00897982" w:rsidRDefault="004C65C5" w:rsidP="003C3632">
      <w:pPr>
        <w:pStyle w:val="NoSpacing"/>
        <w:jc w:val="both"/>
        <w:rPr>
          <w:sz w:val="24"/>
          <w:szCs w:val="24"/>
          <w:lang w:val="pt-BR"/>
        </w:rPr>
      </w:pPr>
      <w:r>
        <w:rPr>
          <w:noProof/>
          <w:sz w:val="24"/>
          <w:szCs w:val="24"/>
          <w:lang w:val="pt-BR"/>
        </w:rPr>
        <w:drawing>
          <wp:inline distT="0" distB="0" distL="0" distR="0" wp14:anchorId="392EF3C0" wp14:editId="3D5E638D">
            <wp:extent cx="5285740" cy="2688590"/>
            <wp:effectExtent l="0" t="0" r="0" b="0"/>
            <wp:docPr id="2578621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8F2923" w14:textId="77777777" w:rsidR="004C65C5" w:rsidRDefault="004C65C5" w:rsidP="003C3632">
      <w:pPr>
        <w:pStyle w:val="NoSpacing"/>
        <w:jc w:val="both"/>
        <w:rPr>
          <w:sz w:val="24"/>
          <w:szCs w:val="24"/>
          <w:lang w:val="pt-BR"/>
        </w:rPr>
      </w:pPr>
    </w:p>
    <w:p w14:paraId="02F15948" w14:textId="77777777" w:rsidR="004C65C5" w:rsidRDefault="004C65C5" w:rsidP="003C3632">
      <w:pPr>
        <w:pStyle w:val="NoSpacing"/>
        <w:jc w:val="both"/>
        <w:rPr>
          <w:sz w:val="24"/>
          <w:szCs w:val="24"/>
          <w:lang w:val="pt-BR"/>
        </w:rPr>
      </w:pPr>
    </w:p>
    <w:p w14:paraId="55105B48" w14:textId="77777777" w:rsidR="004C65C5" w:rsidRPr="003C3632" w:rsidRDefault="004C65C5" w:rsidP="003C3632">
      <w:pPr>
        <w:pStyle w:val="NoSpacing"/>
        <w:jc w:val="both"/>
        <w:rPr>
          <w:sz w:val="24"/>
          <w:szCs w:val="24"/>
          <w:lang w:val="pt-BR"/>
        </w:rPr>
      </w:pPr>
    </w:p>
    <w:p w14:paraId="5741C40A" w14:textId="77777777" w:rsidR="003C3632" w:rsidRDefault="003C3632" w:rsidP="003C3632">
      <w:pPr>
        <w:pStyle w:val="NoSpacing"/>
        <w:jc w:val="both"/>
        <w:rPr>
          <w:sz w:val="24"/>
          <w:szCs w:val="24"/>
          <w:lang w:val="pt-BR"/>
        </w:rPr>
      </w:pPr>
    </w:p>
    <w:p w14:paraId="4347BCFD" w14:textId="67317FF7" w:rsidR="00C12F65" w:rsidRPr="00C12F65" w:rsidRDefault="00C12F65" w:rsidP="003C3632">
      <w:pPr>
        <w:pStyle w:val="NoSpacing"/>
        <w:jc w:val="both"/>
        <w:rPr>
          <w:b/>
          <w:bCs/>
          <w:sz w:val="36"/>
          <w:szCs w:val="36"/>
          <w:lang w:val="pt-BR"/>
        </w:rPr>
      </w:pPr>
      <w:r w:rsidRPr="00C12F65">
        <w:rPr>
          <w:b/>
          <w:bCs/>
          <w:sz w:val="36"/>
          <w:szCs w:val="36"/>
          <w:lang w:val="pt-BR"/>
        </w:rPr>
        <w:lastRenderedPageBreak/>
        <w:t>Apesar das boas expectativas para a produção de milho 24/25, safrinha pode ser plantada fora da janela ideal</w:t>
      </w:r>
    </w:p>
    <w:p w14:paraId="5735B372" w14:textId="77777777" w:rsidR="00C12F65" w:rsidRDefault="00C12F65" w:rsidP="003C3632">
      <w:pPr>
        <w:pStyle w:val="NoSpacing"/>
        <w:jc w:val="both"/>
        <w:rPr>
          <w:sz w:val="24"/>
          <w:szCs w:val="24"/>
          <w:lang w:val="pt-BR"/>
        </w:rPr>
      </w:pPr>
    </w:p>
    <w:p w14:paraId="022206FE" w14:textId="03ECA9EB" w:rsidR="00C12F65" w:rsidRPr="00C12F65" w:rsidRDefault="00424953" w:rsidP="00C12F65">
      <w:pPr>
        <w:pStyle w:val="NoSpacing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Atrasos na colheita de soja refletem em um início de plantio mais lento para a segunda safra do cereal</w:t>
      </w:r>
    </w:p>
    <w:p w14:paraId="0FA00D79" w14:textId="77777777" w:rsidR="00C12F65" w:rsidRDefault="00C12F65" w:rsidP="003C3632">
      <w:pPr>
        <w:pStyle w:val="NoSpacing"/>
        <w:jc w:val="both"/>
        <w:rPr>
          <w:sz w:val="24"/>
          <w:szCs w:val="24"/>
          <w:lang w:val="pt-BR"/>
        </w:rPr>
      </w:pPr>
    </w:p>
    <w:p w14:paraId="2DC52460" w14:textId="77777777" w:rsidR="00424953" w:rsidRDefault="00C12F65" w:rsidP="00C12F65">
      <w:pPr>
        <w:pStyle w:val="NoSpacing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Com revisões positivas na </w:t>
      </w:r>
      <w:r w:rsidRPr="003C3632">
        <w:rPr>
          <w:sz w:val="24"/>
          <w:szCs w:val="24"/>
          <w:lang w:val="pt-BR"/>
        </w:rPr>
        <w:t>produção nacional estimada</w:t>
      </w:r>
      <w:r>
        <w:rPr>
          <w:sz w:val="24"/>
          <w:szCs w:val="24"/>
          <w:lang w:val="pt-BR"/>
        </w:rPr>
        <w:t xml:space="preserve"> para o milho </w:t>
      </w:r>
      <w:r w:rsidRPr="003C3632">
        <w:rPr>
          <w:sz w:val="24"/>
          <w:szCs w:val="24"/>
          <w:lang w:val="pt-BR"/>
        </w:rPr>
        <w:t>24/25</w:t>
      </w:r>
      <w:r>
        <w:rPr>
          <w:sz w:val="24"/>
          <w:szCs w:val="24"/>
          <w:lang w:val="pt-BR"/>
        </w:rPr>
        <w:t xml:space="preserve">, a StoneX alerta para </w:t>
      </w:r>
      <w:r w:rsidRPr="00C12F65">
        <w:rPr>
          <w:sz w:val="24"/>
          <w:szCs w:val="24"/>
          <w:lang w:val="pt-BR"/>
        </w:rPr>
        <w:t xml:space="preserve">a possibilidade de uma parte maior das lavouras </w:t>
      </w:r>
      <w:r>
        <w:rPr>
          <w:sz w:val="24"/>
          <w:szCs w:val="24"/>
          <w:lang w:val="pt-BR"/>
        </w:rPr>
        <w:t xml:space="preserve">da segunda safra do cereal </w:t>
      </w:r>
      <w:r w:rsidRPr="00C12F65">
        <w:rPr>
          <w:sz w:val="24"/>
          <w:szCs w:val="24"/>
          <w:lang w:val="pt-BR"/>
        </w:rPr>
        <w:t>acabar sendo plantada fora da janela ideal, ficando sujeita a maiores riscos climáticos</w:t>
      </w:r>
      <w:r>
        <w:rPr>
          <w:sz w:val="24"/>
          <w:szCs w:val="24"/>
          <w:lang w:val="pt-BR"/>
        </w:rPr>
        <w:t xml:space="preserve">. </w:t>
      </w:r>
    </w:p>
    <w:p w14:paraId="6253504E" w14:textId="571D4EC3" w:rsidR="00C12F65" w:rsidRDefault="00C12F65" w:rsidP="00C12F65">
      <w:pPr>
        <w:pStyle w:val="NoSpacing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“</w:t>
      </w:r>
      <w:r w:rsidRPr="00C12F65">
        <w:rPr>
          <w:sz w:val="24"/>
          <w:szCs w:val="24"/>
          <w:lang w:val="pt-BR"/>
        </w:rPr>
        <w:t xml:space="preserve">O início do plantio está mais lento, como reflexo dos atrasos na colheita </w:t>
      </w:r>
      <w:r w:rsidR="00424953">
        <w:rPr>
          <w:sz w:val="24"/>
          <w:szCs w:val="24"/>
          <w:lang w:val="pt-BR"/>
        </w:rPr>
        <w:t xml:space="preserve">de </w:t>
      </w:r>
      <w:r w:rsidRPr="00C12F65">
        <w:rPr>
          <w:sz w:val="24"/>
          <w:szCs w:val="24"/>
          <w:lang w:val="pt-BR"/>
        </w:rPr>
        <w:t>soja, com alguns estados tendo registrado chuvas muito pesadas, impactando o andamento dos trabalhos no campo</w:t>
      </w:r>
      <w:r>
        <w:rPr>
          <w:sz w:val="24"/>
          <w:szCs w:val="24"/>
          <w:lang w:val="pt-BR"/>
        </w:rPr>
        <w:t>”, divulgou nesta segunda-feira (03), em relatório</w:t>
      </w:r>
      <w:r w:rsidRPr="00C12F65">
        <w:rPr>
          <w:sz w:val="24"/>
          <w:szCs w:val="24"/>
          <w:lang w:val="pt-BR"/>
        </w:rPr>
        <w:t>.</w:t>
      </w:r>
    </w:p>
    <w:p w14:paraId="660F73C4" w14:textId="4E40A157" w:rsidR="003C3632" w:rsidRPr="003C3632" w:rsidRDefault="00424953" w:rsidP="003C3632">
      <w:pPr>
        <w:pStyle w:val="NoSpacing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Apesar disso, as expectativas continuam positivas. </w:t>
      </w:r>
      <w:r w:rsidR="003C3632" w:rsidRPr="003C3632">
        <w:rPr>
          <w:sz w:val="24"/>
          <w:szCs w:val="24"/>
          <w:lang w:val="pt-BR"/>
        </w:rPr>
        <w:t xml:space="preserve">Para o milho primeira safra 24/25, a produção nacional </w:t>
      </w:r>
      <w:r>
        <w:rPr>
          <w:sz w:val="24"/>
          <w:szCs w:val="24"/>
          <w:lang w:val="pt-BR"/>
        </w:rPr>
        <w:t xml:space="preserve">foi </w:t>
      </w:r>
      <w:r w:rsidR="003C3632" w:rsidRPr="003C3632">
        <w:rPr>
          <w:sz w:val="24"/>
          <w:szCs w:val="24"/>
          <w:lang w:val="pt-BR"/>
        </w:rPr>
        <w:t>estimada</w:t>
      </w:r>
      <w:r>
        <w:rPr>
          <w:sz w:val="24"/>
          <w:szCs w:val="24"/>
          <w:lang w:val="pt-BR"/>
        </w:rPr>
        <w:t xml:space="preserve"> pelo grupo</w:t>
      </w:r>
      <w:r w:rsidR="003C3632" w:rsidRPr="003C3632">
        <w:rPr>
          <w:sz w:val="24"/>
          <w:szCs w:val="24"/>
          <w:lang w:val="pt-BR"/>
        </w:rPr>
        <w:t xml:space="preserve"> em 25,45 milhões de toneladas, crescimento de 2,4% em comparação ao divulgado no início de janeiro</w:t>
      </w:r>
      <w:r>
        <w:rPr>
          <w:sz w:val="24"/>
          <w:szCs w:val="24"/>
          <w:lang w:val="pt-BR"/>
        </w:rPr>
        <w:t xml:space="preserve">, com destaque </w:t>
      </w:r>
      <w:r w:rsidR="003C3632" w:rsidRPr="003C3632">
        <w:rPr>
          <w:sz w:val="24"/>
          <w:szCs w:val="24"/>
          <w:lang w:val="pt-BR"/>
        </w:rPr>
        <w:t>para o novo aumento de produtividade média no Paraná, que já estava acima de 10 toneladas por hectare e subiu para 10,87.</w:t>
      </w:r>
    </w:p>
    <w:p w14:paraId="79D926B4" w14:textId="77777777" w:rsidR="003C3632" w:rsidRPr="003C3632" w:rsidRDefault="003C3632" w:rsidP="003C3632">
      <w:pPr>
        <w:pStyle w:val="NoSpacing"/>
        <w:jc w:val="both"/>
        <w:rPr>
          <w:sz w:val="24"/>
          <w:szCs w:val="24"/>
          <w:lang w:val="pt-BR"/>
        </w:rPr>
      </w:pPr>
      <w:r w:rsidRPr="003C3632">
        <w:rPr>
          <w:sz w:val="24"/>
          <w:szCs w:val="24"/>
          <w:lang w:val="pt-BR"/>
        </w:rPr>
        <w:t xml:space="preserve">Mesmo com as preocupações com o clima mais seco, as perspectivas para o Rio Grande do Sul foram mantidas, uma vez que o milho no estado é plantado mais cedo e os resultados da colheita têm sido muito positivos. </w:t>
      </w:r>
    </w:p>
    <w:p w14:paraId="3A3E9C60" w14:textId="7D37BB48" w:rsidR="00C12F65" w:rsidRPr="003C3632" w:rsidRDefault="003C3632" w:rsidP="003C3632">
      <w:pPr>
        <w:pStyle w:val="NoSpacing"/>
        <w:jc w:val="both"/>
        <w:rPr>
          <w:sz w:val="24"/>
          <w:szCs w:val="24"/>
          <w:lang w:val="pt-BR"/>
        </w:rPr>
      </w:pPr>
      <w:r w:rsidRPr="003C3632">
        <w:rPr>
          <w:sz w:val="24"/>
          <w:szCs w:val="24"/>
          <w:lang w:val="pt-BR"/>
        </w:rPr>
        <w:t>Para a segunda safra, houve ajustes marginais, com a produção registrando um leve avanço</w:t>
      </w:r>
      <w:r w:rsidR="00424953">
        <w:rPr>
          <w:sz w:val="24"/>
          <w:szCs w:val="24"/>
          <w:lang w:val="pt-BR"/>
        </w:rPr>
        <w:t xml:space="preserve"> </w:t>
      </w:r>
      <w:r w:rsidRPr="003C3632">
        <w:rPr>
          <w:sz w:val="24"/>
          <w:szCs w:val="24"/>
          <w:lang w:val="pt-BR"/>
        </w:rPr>
        <w:t>de 0,2% frente ao relatório passado, ficando em 101,7 milhões de toneladas, com destaque para um pequeno aumento da área plantada.</w:t>
      </w:r>
    </w:p>
    <w:p w14:paraId="3D5E77D3" w14:textId="6AF9EC6B" w:rsidR="003C3632" w:rsidRPr="003C3632" w:rsidRDefault="003C3632" w:rsidP="003C3632">
      <w:pPr>
        <w:pStyle w:val="NoSpacing"/>
        <w:jc w:val="both"/>
        <w:rPr>
          <w:sz w:val="24"/>
          <w:szCs w:val="24"/>
          <w:lang w:val="pt-BR"/>
        </w:rPr>
      </w:pPr>
      <w:r w:rsidRPr="003C3632">
        <w:rPr>
          <w:sz w:val="24"/>
          <w:szCs w:val="24"/>
          <w:lang w:val="pt-BR"/>
        </w:rPr>
        <w:t>A produção total de milho 24/25</w:t>
      </w:r>
      <w:r w:rsidR="00424953">
        <w:rPr>
          <w:sz w:val="24"/>
          <w:szCs w:val="24"/>
          <w:lang w:val="pt-BR"/>
        </w:rPr>
        <w:t>, portanto,</w:t>
      </w:r>
      <w:r w:rsidRPr="003C3632">
        <w:rPr>
          <w:sz w:val="24"/>
          <w:szCs w:val="24"/>
          <w:lang w:val="pt-BR"/>
        </w:rPr>
        <w:t xml:space="preserve"> </w:t>
      </w:r>
      <w:r w:rsidR="00424953">
        <w:rPr>
          <w:sz w:val="24"/>
          <w:szCs w:val="24"/>
          <w:lang w:val="pt-BR"/>
        </w:rPr>
        <w:t>foi</w:t>
      </w:r>
      <w:r w:rsidRPr="003C3632">
        <w:rPr>
          <w:sz w:val="24"/>
          <w:szCs w:val="24"/>
          <w:lang w:val="pt-BR"/>
        </w:rPr>
        <w:t xml:space="preserve"> estimada em 129,4 milhões de toneladas, repetindo-se a terceira safra 23/24</w:t>
      </w:r>
      <w:r w:rsidR="00424953">
        <w:rPr>
          <w:sz w:val="24"/>
          <w:szCs w:val="24"/>
          <w:lang w:val="pt-BR"/>
        </w:rPr>
        <w:t xml:space="preserve"> – </w:t>
      </w:r>
      <w:r w:rsidRPr="003C3632">
        <w:rPr>
          <w:sz w:val="24"/>
          <w:szCs w:val="24"/>
          <w:lang w:val="pt-BR"/>
        </w:rPr>
        <w:t>aumento de 0,6% frente a</w:t>
      </w:r>
      <w:r w:rsidR="00424953">
        <w:rPr>
          <w:sz w:val="24"/>
          <w:szCs w:val="24"/>
          <w:lang w:val="pt-BR"/>
        </w:rPr>
        <w:t>o</w:t>
      </w:r>
      <w:r w:rsidRPr="003C3632">
        <w:rPr>
          <w:sz w:val="24"/>
          <w:szCs w:val="24"/>
          <w:lang w:val="pt-BR"/>
        </w:rPr>
        <w:t xml:space="preserve"> relatório anterior, refletindo principalmente a revisão da primeira safra. Não houve alterações em variáveis de demanda da safra 24/25, com os estoques finais ficando em 16,9 milhões de toneladas.</w:t>
      </w:r>
    </w:p>
    <w:p w14:paraId="6C27ABFF" w14:textId="77777777" w:rsidR="003C3632" w:rsidRPr="003C3632" w:rsidRDefault="003C3632" w:rsidP="003C3632">
      <w:pPr>
        <w:pStyle w:val="NoSpacing"/>
        <w:jc w:val="both"/>
        <w:rPr>
          <w:sz w:val="24"/>
          <w:szCs w:val="24"/>
          <w:lang w:val="pt-BR"/>
        </w:rPr>
      </w:pPr>
      <w:r w:rsidRPr="003C3632">
        <w:rPr>
          <w:sz w:val="24"/>
          <w:szCs w:val="24"/>
          <w:lang w:val="pt-BR"/>
        </w:rPr>
        <w:t>No caso da safra 23/24, destaque para o corte de 500 mil toneladas no número de exportação, considerando o andamento dos embarques em janeiro, que encerram o período de apuração do ciclo. Nos próximos dias, será divulgado o dado oficial de exportações.</w:t>
      </w:r>
    </w:p>
    <w:p w14:paraId="607163A2" w14:textId="77777777" w:rsidR="003C3632" w:rsidRDefault="003C3632" w:rsidP="003C3632">
      <w:pPr>
        <w:pStyle w:val="NoSpacing"/>
        <w:jc w:val="both"/>
        <w:rPr>
          <w:sz w:val="24"/>
          <w:szCs w:val="24"/>
          <w:lang w:val="pt-BR"/>
        </w:rPr>
      </w:pPr>
    </w:p>
    <w:p w14:paraId="6B68BE5A" w14:textId="77777777" w:rsidR="004C65C5" w:rsidRDefault="004C65C5" w:rsidP="003C3632">
      <w:pPr>
        <w:pStyle w:val="NoSpacing"/>
        <w:jc w:val="both"/>
        <w:rPr>
          <w:sz w:val="24"/>
          <w:szCs w:val="24"/>
          <w:lang w:val="pt-BR"/>
        </w:rPr>
      </w:pPr>
    </w:p>
    <w:p w14:paraId="4CA2AFEC" w14:textId="77777777" w:rsidR="004C65C5" w:rsidRDefault="004C65C5" w:rsidP="003C3632">
      <w:pPr>
        <w:pStyle w:val="NoSpacing"/>
        <w:jc w:val="both"/>
        <w:rPr>
          <w:sz w:val="24"/>
          <w:szCs w:val="24"/>
          <w:lang w:val="pt-BR"/>
        </w:rPr>
      </w:pPr>
    </w:p>
    <w:p w14:paraId="7A6EEA34" w14:textId="77777777" w:rsidR="004C65C5" w:rsidRDefault="004C65C5" w:rsidP="003C3632">
      <w:pPr>
        <w:pStyle w:val="NoSpacing"/>
        <w:jc w:val="both"/>
        <w:rPr>
          <w:sz w:val="24"/>
          <w:szCs w:val="24"/>
          <w:lang w:val="pt-BR"/>
        </w:rPr>
      </w:pPr>
    </w:p>
    <w:p w14:paraId="1F0B60C0" w14:textId="77777777" w:rsidR="004C65C5" w:rsidRDefault="004C65C5" w:rsidP="003C3632">
      <w:pPr>
        <w:pStyle w:val="NoSpacing"/>
        <w:jc w:val="both"/>
        <w:rPr>
          <w:sz w:val="24"/>
          <w:szCs w:val="24"/>
          <w:lang w:val="pt-BR"/>
        </w:rPr>
      </w:pPr>
    </w:p>
    <w:p w14:paraId="090FDF0B" w14:textId="77777777" w:rsidR="004C65C5" w:rsidRDefault="004C65C5" w:rsidP="003C3632">
      <w:pPr>
        <w:pStyle w:val="NoSpacing"/>
        <w:jc w:val="both"/>
        <w:rPr>
          <w:sz w:val="24"/>
          <w:szCs w:val="24"/>
          <w:lang w:val="pt-BR"/>
        </w:rPr>
      </w:pPr>
    </w:p>
    <w:p w14:paraId="49592076" w14:textId="77777777" w:rsidR="004C65C5" w:rsidRDefault="004C65C5" w:rsidP="003C3632">
      <w:pPr>
        <w:pStyle w:val="NoSpacing"/>
        <w:jc w:val="both"/>
        <w:rPr>
          <w:sz w:val="24"/>
          <w:szCs w:val="24"/>
          <w:lang w:val="pt-BR"/>
        </w:rPr>
      </w:pPr>
    </w:p>
    <w:p w14:paraId="419C12D5" w14:textId="77777777" w:rsidR="004C65C5" w:rsidRDefault="004C65C5" w:rsidP="003C3632">
      <w:pPr>
        <w:pStyle w:val="NoSpacing"/>
        <w:jc w:val="both"/>
        <w:rPr>
          <w:sz w:val="24"/>
          <w:szCs w:val="24"/>
          <w:lang w:val="pt-BR"/>
        </w:rPr>
      </w:pPr>
    </w:p>
    <w:p w14:paraId="479C4959" w14:textId="77777777" w:rsidR="004C65C5" w:rsidRDefault="004C65C5" w:rsidP="003C3632">
      <w:pPr>
        <w:pStyle w:val="NoSpacing"/>
        <w:jc w:val="both"/>
        <w:rPr>
          <w:sz w:val="24"/>
          <w:szCs w:val="24"/>
          <w:lang w:val="pt-BR"/>
        </w:rPr>
      </w:pPr>
    </w:p>
    <w:p w14:paraId="686B3500" w14:textId="77777777" w:rsidR="004C65C5" w:rsidRDefault="004C65C5" w:rsidP="003C3632">
      <w:pPr>
        <w:pStyle w:val="NoSpacing"/>
        <w:jc w:val="both"/>
        <w:rPr>
          <w:sz w:val="24"/>
          <w:szCs w:val="24"/>
          <w:lang w:val="pt-BR"/>
        </w:rPr>
      </w:pPr>
    </w:p>
    <w:p w14:paraId="07B4153E" w14:textId="77777777" w:rsidR="004C65C5" w:rsidRDefault="004C65C5" w:rsidP="003C3632">
      <w:pPr>
        <w:pStyle w:val="NoSpacing"/>
        <w:jc w:val="both"/>
        <w:rPr>
          <w:sz w:val="24"/>
          <w:szCs w:val="24"/>
          <w:lang w:val="pt-BR"/>
        </w:rPr>
      </w:pPr>
    </w:p>
    <w:p w14:paraId="3A4ECC4A" w14:textId="307632BD" w:rsidR="004C65C5" w:rsidRPr="004C65C5" w:rsidRDefault="004C65C5" w:rsidP="003C3632">
      <w:pPr>
        <w:pStyle w:val="NoSpacing"/>
        <w:jc w:val="both"/>
        <w:rPr>
          <w:b/>
          <w:bCs/>
          <w:sz w:val="24"/>
          <w:szCs w:val="24"/>
          <w:lang w:val="pt-BR"/>
        </w:rPr>
      </w:pPr>
      <w:r w:rsidRPr="004C65C5">
        <w:rPr>
          <w:b/>
          <w:bCs/>
          <w:noProof/>
          <w:sz w:val="24"/>
          <w:szCs w:val="24"/>
          <w:lang w:val="pt-BR"/>
        </w:rPr>
        <w:lastRenderedPageBreak/>
        <w:drawing>
          <wp:anchor distT="0" distB="0" distL="114300" distR="114300" simplePos="0" relativeHeight="251661312" behindDoc="0" locked="0" layoutInCell="1" allowOverlap="1" wp14:anchorId="1162CBBA" wp14:editId="362BBD3F">
            <wp:simplePos x="0" y="0"/>
            <wp:positionH relativeFrom="margin">
              <wp:align>center</wp:align>
            </wp:positionH>
            <wp:positionV relativeFrom="margin">
              <wp:posOffset>275590</wp:posOffset>
            </wp:positionV>
            <wp:extent cx="6875145" cy="3841115"/>
            <wp:effectExtent l="0" t="0" r="1905" b="6985"/>
            <wp:wrapSquare wrapText="bothSides"/>
            <wp:docPr id="1815491263" name="Picture 3" descr="A table with numbers and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491263" name="Picture 3" descr="A table with numbers and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145" cy="384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65C5">
        <w:rPr>
          <w:b/>
          <w:bCs/>
          <w:sz w:val="24"/>
          <w:szCs w:val="24"/>
          <w:lang w:val="pt-BR"/>
        </w:rPr>
        <w:t xml:space="preserve">Milho - </w:t>
      </w:r>
      <w:r w:rsidRPr="004C65C5">
        <w:rPr>
          <w:b/>
          <w:bCs/>
          <w:sz w:val="24"/>
          <w:szCs w:val="24"/>
          <w:lang w:val="pt-BR"/>
        </w:rPr>
        <w:t>1ª safra 2024/25</w:t>
      </w:r>
    </w:p>
    <w:p w14:paraId="29EDBAF7" w14:textId="42E6EF46" w:rsidR="004C65C5" w:rsidRDefault="004C65C5" w:rsidP="003C3632">
      <w:pPr>
        <w:pStyle w:val="NoSpacing"/>
        <w:jc w:val="both"/>
        <w:rPr>
          <w:sz w:val="24"/>
          <w:szCs w:val="24"/>
          <w:lang w:val="pt-BR"/>
        </w:rPr>
      </w:pPr>
    </w:p>
    <w:p w14:paraId="4B5B874F" w14:textId="3F9C919E" w:rsidR="004C65C5" w:rsidRPr="004C65C5" w:rsidRDefault="004C65C5" w:rsidP="004C65C5">
      <w:pPr>
        <w:pStyle w:val="NoSpacing"/>
        <w:jc w:val="both"/>
        <w:rPr>
          <w:b/>
          <w:bCs/>
          <w:sz w:val="24"/>
          <w:szCs w:val="24"/>
          <w:lang w:val="pt-BR"/>
        </w:rPr>
      </w:pPr>
      <w:r w:rsidRPr="004C65C5">
        <w:rPr>
          <w:b/>
          <w:bCs/>
          <w:noProof/>
          <w:sz w:val="24"/>
          <w:szCs w:val="24"/>
          <w:lang w:val="pt-BR"/>
        </w:rPr>
        <w:drawing>
          <wp:anchor distT="0" distB="0" distL="114300" distR="114300" simplePos="0" relativeHeight="251662336" behindDoc="0" locked="0" layoutInCell="1" allowOverlap="1" wp14:anchorId="6663B0AD" wp14:editId="748B3E80">
            <wp:simplePos x="0" y="0"/>
            <wp:positionH relativeFrom="margin">
              <wp:align>center</wp:align>
            </wp:positionH>
            <wp:positionV relativeFrom="page">
              <wp:posOffset>5538135</wp:posOffset>
            </wp:positionV>
            <wp:extent cx="6892290" cy="3688080"/>
            <wp:effectExtent l="0" t="0" r="3810" b="7620"/>
            <wp:wrapSquare wrapText="bothSides"/>
            <wp:docPr id="4109857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290" cy="3688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65C5">
        <w:rPr>
          <w:b/>
          <w:bCs/>
          <w:sz w:val="24"/>
          <w:szCs w:val="24"/>
          <w:lang w:val="pt-BR"/>
        </w:rPr>
        <w:t xml:space="preserve">Milho - </w:t>
      </w:r>
      <w:r w:rsidRPr="004C65C5">
        <w:rPr>
          <w:b/>
          <w:bCs/>
          <w:sz w:val="24"/>
          <w:szCs w:val="24"/>
          <w:lang w:val="pt-BR"/>
        </w:rPr>
        <w:t>2</w:t>
      </w:r>
      <w:r w:rsidRPr="004C65C5">
        <w:rPr>
          <w:b/>
          <w:bCs/>
          <w:sz w:val="24"/>
          <w:szCs w:val="24"/>
          <w:lang w:val="pt-BR"/>
        </w:rPr>
        <w:t>ª safra 2024/25</w:t>
      </w:r>
    </w:p>
    <w:p w14:paraId="22BB0A8C" w14:textId="56B2D17C" w:rsidR="004C65C5" w:rsidRDefault="004C65C5" w:rsidP="004C65C5">
      <w:pPr>
        <w:pStyle w:val="NoSpacing"/>
        <w:jc w:val="both"/>
        <w:rPr>
          <w:sz w:val="24"/>
          <w:szCs w:val="24"/>
          <w:lang w:val="pt-BR"/>
        </w:rPr>
      </w:pPr>
      <w:r>
        <w:rPr>
          <w:noProof/>
          <w:sz w:val="24"/>
          <w:szCs w:val="24"/>
          <w:lang w:val="pt-BR"/>
        </w:rPr>
        <w:lastRenderedPageBreak/>
        <w:drawing>
          <wp:inline distT="0" distB="0" distL="0" distR="0" wp14:anchorId="4AE344DD" wp14:editId="2544AD23">
            <wp:extent cx="5267325" cy="2688590"/>
            <wp:effectExtent l="0" t="0" r="9525" b="0"/>
            <wp:docPr id="15690300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9C3E46" w14:textId="77777777" w:rsidR="004C65C5" w:rsidRDefault="004C65C5" w:rsidP="004C65C5">
      <w:pPr>
        <w:pStyle w:val="NoSpacing"/>
        <w:jc w:val="both"/>
        <w:rPr>
          <w:sz w:val="24"/>
          <w:szCs w:val="24"/>
          <w:lang w:val="pt-BR"/>
        </w:rPr>
      </w:pPr>
    </w:p>
    <w:p w14:paraId="55D44D57" w14:textId="77777777" w:rsidR="00A30BE4" w:rsidRDefault="004C65C5" w:rsidP="003C3632">
      <w:pPr>
        <w:pStyle w:val="NoSpacing"/>
        <w:jc w:val="both"/>
        <w:rPr>
          <w:lang w:val="pt-BR"/>
        </w:rPr>
      </w:pPr>
      <w:r w:rsidRPr="004C65C5">
        <w:rPr>
          <w:lang w:val="pt-BR"/>
        </w:rPr>
        <w:t xml:space="preserve">*NOTA: A produção total de milho inclui as estimativas para a primeira, segunda e terceira safras. </w:t>
      </w:r>
    </w:p>
    <w:p w14:paraId="5DB2B2F2" w14:textId="5F1C256A" w:rsidR="004C65C5" w:rsidRPr="004C65C5" w:rsidRDefault="004C65C5" w:rsidP="003C3632">
      <w:pPr>
        <w:pStyle w:val="NoSpacing"/>
        <w:jc w:val="both"/>
        <w:rPr>
          <w:lang w:val="pt-BR"/>
        </w:rPr>
      </w:pPr>
      <w:r w:rsidRPr="004C65C5">
        <w:rPr>
          <w:lang w:val="pt-BR"/>
        </w:rPr>
        <w:t>A terceira safra está em 2,19 milhões de toneladas (repetindo 23/24).</w:t>
      </w:r>
    </w:p>
    <w:p w14:paraId="53EE402A" w14:textId="18EB187D" w:rsidR="004C65C5" w:rsidRDefault="004C65C5" w:rsidP="003C3632">
      <w:pPr>
        <w:pStyle w:val="NoSpacing"/>
        <w:jc w:val="both"/>
        <w:rPr>
          <w:sz w:val="24"/>
          <w:szCs w:val="24"/>
          <w:lang w:val="pt-BR"/>
        </w:rPr>
      </w:pPr>
    </w:p>
    <w:p w14:paraId="5579CEBE" w14:textId="53F7A2B3" w:rsidR="004C65C5" w:rsidRPr="003C3632" w:rsidRDefault="004C65C5" w:rsidP="003C3632">
      <w:pPr>
        <w:pStyle w:val="NoSpacing"/>
        <w:jc w:val="both"/>
        <w:rPr>
          <w:sz w:val="24"/>
          <w:szCs w:val="24"/>
          <w:lang w:val="pt-BR"/>
        </w:rPr>
      </w:pPr>
    </w:p>
    <w:sectPr w:rsidR="004C65C5" w:rsidRPr="003C36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632"/>
    <w:rsid w:val="001B47C8"/>
    <w:rsid w:val="003C3632"/>
    <w:rsid w:val="00424953"/>
    <w:rsid w:val="004C65C5"/>
    <w:rsid w:val="00594A71"/>
    <w:rsid w:val="00897982"/>
    <w:rsid w:val="00A30BE4"/>
    <w:rsid w:val="00C12F65"/>
    <w:rsid w:val="00D051DF"/>
    <w:rsid w:val="00D5506B"/>
    <w:rsid w:val="00FE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1E0C4A96"/>
  <w15:chartTrackingRefBased/>
  <w15:docId w15:val="{17EA7744-D4AE-4E52-8C84-59D47820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3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3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6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3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6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6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6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6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6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6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36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36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36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6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6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6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6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6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3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3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6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3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3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36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36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36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36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36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363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C36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3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Barboza</dc:creator>
  <cp:keywords/>
  <dc:description/>
  <cp:lastModifiedBy>Carolina Barboza</cp:lastModifiedBy>
  <cp:revision>2</cp:revision>
  <dcterms:created xsi:type="dcterms:W3CDTF">2025-02-03T12:43:00Z</dcterms:created>
  <dcterms:modified xsi:type="dcterms:W3CDTF">2025-02-03T17:34:00Z</dcterms:modified>
</cp:coreProperties>
</file>