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E9D9" w14:textId="62010A31" w:rsidR="00391D2F" w:rsidRPr="00673F8C" w:rsidRDefault="00673F8C" w:rsidP="00673F8C">
      <w:pPr>
        <w:pStyle w:val="SemEspaamento"/>
        <w:rPr>
          <w:sz w:val="32"/>
          <w:szCs w:val="32"/>
        </w:rPr>
      </w:pPr>
      <w:r w:rsidRPr="00673F8C">
        <w:rPr>
          <w:sz w:val="32"/>
          <w:szCs w:val="32"/>
        </w:rPr>
        <w:t>Estimativa de safra Centro-Sul – 2025/26</w:t>
      </w:r>
    </w:p>
    <w:p w14:paraId="439AA222" w14:textId="77777777" w:rsidR="00673F8C" w:rsidRDefault="00673F8C" w:rsidP="00673F8C">
      <w:pPr>
        <w:pStyle w:val="SemEspaamento"/>
      </w:pPr>
    </w:p>
    <w:p w14:paraId="2D238248" w14:textId="0D8C1B2B" w:rsidR="00053E63" w:rsidRPr="008F6416" w:rsidRDefault="00053E63" w:rsidP="00053E63">
      <w:pPr>
        <w:pStyle w:val="SemEspaamento"/>
        <w:rPr>
          <w:b/>
          <w:bCs/>
          <w:sz w:val="28"/>
          <w:szCs w:val="28"/>
        </w:rPr>
      </w:pPr>
      <w:r w:rsidRPr="008F6416">
        <w:rPr>
          <w:b/>
          <w:bCs/>
          <w:color w:val="C00000"/>
          <w:sz w:val="28"/>
          <w:szCs w:val="28"/>
          <w:u w:val="single"/>
        </w:rPr>
        <w:t>Destaques</w:t>
      </w:r>
      <w:r w:rsidR="00BC0831" w:rsidRPr="008F6416">
        <w:rPr>
          <w:b/>
          <w:bCs/>
          <w:sz w:val="28"/>
          <w:szCs w:val="28"/>
        </w:rPr>
        <w:t xml:space="preserve"> | </w:t>
      </w:r>
      <w:r w:rsidRPr="008F6416">
        <w:rPr>
          <w:b/>
          <w:bCs/>
          <w:sz w:val="28"/>
          <w:szCs w:val="28"/>
          <w:highlight w:val="yellow"/>
        </w:rPr>
        <w:t>Safra 2025/26 (3ª Revisão) – Centro-Sul</w:t>
      </w:r>
    </w:p>
    <w:p w14:paraId="43FC0AEC" w14:textId="77777777" w:rsidR="00BC0831" w:rsidRDefault="00BC0831" w:rsidP="00053E63">
      <w:pPr>
        <w:pStyle w:val="SemEspaamento"/>
        <w:rPr>
          <w:b/>
          <w:bCs/>
        </w:rPr>
      </w:pPr>
    </w:p>
    <w:p w14:paraId="4649BC5A" w14:textId="36522053" w:rsidR="00053E63" w:rsidRDefault="00053E63" w:rsidP="00053E63">
      <w:pPr>
        <w:pStyle w:val="SemEspaamento"/>
      </w:pPr>
      <w:r w:rsidRPr="00BC0831">
        <w:rPr>
          <w:b/>
          <w:bCs/>
        </w:rPr>
        <w:t>Chuvas abaixo da média:</w:t>
      </w:r>
      <w:r>
        <w:t xml:space="preserve"> janeiro e fevereiro registraram </w:t>
      </w:r>
      <w:r w:rsidRPr="00053E63">
        <w:t xml:space="preserve">apenas 223,4 mm </w:t>
      </w:r>
      <w:r w:rsidR="00A470C6">
        <w:t xml:space="preserve">de chuva </w:t>
      </w:r>
      <w:r w:rsidRPr="00673F8C">
        <w:t>–</w:t>
      </w:r>
      <w:r>
        <w:t xml:space="preserve"> 35% </w:t>
      </w:r>
      <w:r w:rsidR="00A470C6">
        <w:t>abaixo da</w:t>
      </w:r>
      <w:r>
        <w:t xml:space="preserve"> média histórica, impactando a umidade do solo.</w:t>
      </w:r>
    </w:p>
    <w:p w14:paraId="15CBAB61" w14:textId="77777777" w:rsidR="00053E63" w:rsidRDefault="00053E63" w:rsidP="00053E63">
      <w:pPr>
        <w:pStyle w:val="SemEspaamento"/>
      </w:pPr>
      <w:r w:rsidRPr="00BC0831">
        <w:rPr>
          <w:b/>
          <w:bCs/>
        </w:rPr>
        <w:t xml:space="preserve">Ajuste na moagem: </w:t>
      </w:r>
      <w:r>
        <w:t>StoneX revisou a estimativa de moagem de 611,4 para 608,5 milhões de toneladas (-2% a/a).</w:t>
      </w:r>
    </w:p>
    <w:p w14:paraId="417A642E" w14:textId="6F92AFFA" w:rsidR="00053E63" w:rsidRDefault="00053E63" w:rsidP="00053E63">
      <w:pPr>
        <w:pStyle w:val="SemEspaamento"/>
      </w:pPr>
      <w:r w:rsidRPr="00BC0831">
        <w:rPr>
          <w:b/>
          <w:bCs/>
        </w:rPr>
        <w:t>Produtividade (TCH):</w:t>
      </w:r>
      <w:r>
        <w:t xml:space="preserve"> Corte na estimativa de TCH </w:t>
      </w:r>
      <w:r w:rsidR="00BC0831" w:rsidRPr="00BC0831">
        <w:t xml:space="preserve">de 79,4 </w:t>
      </w:r>
      <w:proofErr w:type="spellStart"/>
      <w:r w:rsidR="00BC0831" w:rsidRPr="00BC0831">
        <w:t>ton</w:t>
      </w:r>
      <w:proofErr w:type="spellEnd"/>
      <w:r w:rsidR="00BC0831" w:rsidRPr="00BC0831">
        <w:t>/h</w:t>
      </w:r>
      <w:r w:rsidR="00BC0831">
        <w:t>a</w:t>
      </w:r>
      <w:r w:rsidR="00BC0831" w:rsidRPr="00BC0831">
        <w:t xml:space="preserve"> </w:t>
      </w:r>
      <w:r>
        <w:t xml:space="preserve">para 71,9 </w:t>
      </w:r>
      <w:proofErr w:type="spellStart"/>
      <w:r>
        <w:t>ton</w:t>
      </w:r>
      <w:proofErr w:type="spellEnd"/>
      <w:r>
        <w:t>/ha</w:t>
      </w:r>
      <w:r w:rsidR="00BC0831" w:rsidRPr="00BC0831">
        <w:t xml:space="preserve">, </w:t>
      </w:r>
      <w:r w:rsidR="00BC0831">
        <w:t xml:space="preserve">em resposta à queda nas chuvas (mas </w:t>
      </w:r>
      <w:r w:rsidR="00BC0831" w:rsidRPr="00BC0831">
        <w:t>ainda maior no comparativo com 2024/25</w:t>
      </w:r>
      <w:r w:rsidR="00BC0831">
        <w:t>).</w:t>
      </w:r>
    </w:p>
    <w:p w14:paraId="0F621E8B" w14:textId="4369060D" w:rsidR="00053E63" w:rsidRDefault="00053E63" w:rsidP="00053E63">
      <w:pPr>
        <w:pStyle w:val="SemEspaamento"/>
      </w:pPr>
      <w:r w:rsidRPr="00BC0831">
        <w:rPr>
          <w:b/>
          <w:bCs/>
        </w:rPr>
        <w:t>ATR:</w:t>
      </w:r>
      <w:r>
        <w:t xml:space="preserve"> </w:t>
      </w:r>
      <w:r w:rsidR="00BC0831" w:rsidRPr="00BC0831">
        <w:t xml:space="preserve">revisado para cima </w:t>
      </w:r>
      <w:r>
        <w:t>para 141,1 kg/</w:t>
      </w:r>
      <w:proofErr w:type="spellStart"/>
      <w:r>
        <w:t>ton</w:t>
      </w:r>
      <w:proofErr w:type="spellEnd"/>
      <w:r w:rsidR="002E7CB4">
        <w:t>:</w:t>
      </w:r>
      <w:r w:rsidR="00BC0831" w:rsidRPr="00BC0831">
        <w:t xml:space="preserve"> </w:t>
      </w:r>
      <w:r w:rsidR="00BC0831">
        <w:t>o</w:t>
      </w:r>
      <w:r w:rsidR="00BC0831" w:rsidRPr="00BC0831">
        <w:t xml:space="preserve"> clima mais seco do que o normal, embora limite o ganho de TCH, tende a propiciar um ATR melhor</w:t>
      </w:r>
    </w:p>
    <w:p w14:paraId="1046D39C" w14:textId="2F361E3A" w:rsidR="002E7CB4" w:rsidRDefault="002E7CB4" w:rsidP="00053E63">
      <w:pPr>
        <w:pStyle w:val="SemEspaamento"/>
      </w:pPr>
      <w:r w:rsidRPr="002E7CB4">
        <w:rPr>
          <w:b/>
          <w:bCs/>
        </w:rPr>
        <w:t>Mix:</w:t>
      </w:r>
      <w:r>
        <w:t xml:space="preserve"> mix açucareiro: 51% </w:t>
      </w:r>
      <w:r w:rsidRPr="00673F8C">
        <w:t>–</w:t>
      </w:r>
      <w:r>
        <w:t xml:space="preserve"> apesar da </w:t>
      </w:r>
      <w:r w:rsidRPr="002E7CB4">
        <w:t>desaceleração das chuvas no início de 2025</w:t>
      </w:r>
      <w:r>
        <w:t xml:space="preserve">, </w:t>
      </w:r>
      <w:r w:rsidRPr="002E7CB4">
        <w:t>a visão de que haverá “caminho aberto” para as usinas maximizarem o mix açucareiro em 2025/26 permanece</w:t>
      </w:r>
      <w:r>
        <w:t xml:space="preserve"> </w:t>
      </w:r>
    </w:p>
    <w:p w14:paraId="423A6834" w14:textId="192750DB" w:rsidR="00053E63" w:rsidRDefault="00053E63" w:rsidP="00053E63">
      <w:pPr>
        <w:pStyle w:val="SemEspaamento"/>
      </w:pPr>
      <w:r w:rsidRPr="00BC0831">
        <w:rPr>
          <w:b/>
          <w:bCs/>
        </w:rPr>
        <w:t>Açúcar e exportações:</w:t>
      </w:r>
      <w:r>
        <w:t xml:space="preserve"> Produção revisada para 41,7 milhões de toneladas (+4,2% a/a); exportações estimadas em 32,</w:t>
      </w:r>
      <w:r w:rsidR="00A470C6">
        <w:t>6</w:t>
      </w:r>
      <w:r>
        <w:t xml:space="preserve"> milhões de toneladas</w:t>
      </w:r>
      <w:r w:rsidR="00A470C6">
        <w:t xml:space="preserve"> em 2025/26</w:t>
      </w:r>
      <w:r>
        <w:t>.</w:t>
      </w:r>
    </w:p>
    <w:p w14:paraId="55BC6516" w14:textId="6C21743B" w:rsidR="00053E63" w:rsidRDefault="00053E63" w:rsidP="00053E63">
      <w:pPr>
        <w:pStyle w:val="SemEspaamento"/>
      </w:pPr>
      <w:r w:rsidRPr="00BC0831">
        <w:rPr>
          <w:b/>
          <w:bCs/>
        </w:rPr>
        <w:t xml:space="preserve">Mercado de etanol: </w:t>
      </w:r>
      <w:r>
        <w:t>Expectativa de menor demanda comparado a 2024/25; produção projetada em 34,5 milhões de m³ (-2%).</w:t>
      </w:r>
      <w:r w:rsidR="002E7CB4">
        <w:t xml:space="preserve"> </w:t>
      </w:r>
      <w:r w:rsidR="002E7CB4" w:rsidRPr="008F6416">
        <w:rPr>
          <w:highlight w:val="yellow"/>
        </w:rPr>
        <w:t>“O que pode estimular a sua oferta este ano é a esperada aprovação do aumento da mistura do anidro na gasolina de 27% para 30%, - a data de início da medida ainda permanece incerta” (Marcelo Di Bonifacio Filho, analista de inteligência de mercado).</w:t>
      </w:r>
    </w:p>
    <w:p w14:paraId="377EE0CC" w14:textId="58387B84" w:rsidR="00053E63" w:rsidRDefault="00053E63" w:rsidP="00053E63">
      <w:pPr>
        <w:pStyle w:val="SemEspaamento"/>
      </w:pPr>
      <w:r w:rsidRPr="00BC0831">
        <w:rPr>
          <w:b/>
          <w:bCs/>
        </w:rPr>
        <w:t>Etanol de milho:</w:t>
      </w:r>
      <w:r>
        <w:t xml:space="preserve"> </w:t>
      </w:r>
      <w:r w:rsidR="002E7CB4" w:rsidRPr="002E7CB4">
        <w:t>no início da safra 2025/26, a capacidade de produção do etanol de milho deve ser de 10,3 milhões de m³/ano</w:t>
      </w:r>
      <w:r w:rsidR="00A470C6">
        <w:t>, devendo crescer pelo menos 600 mil m³ ao longo do ciclo.</w:t>
      </w:r>
    </w:p>
    <w:p w14:paraId="1982C9DA" w14:textId="77777777" w:rsidR="00053E63" w:rsidRDefault="00053E63" w:rsidP="00053E63">
      <w:pPr>
        <w:pStyle w:val="SemEspaamento"/>
        <w:rPr>
          <w:b/>
          <w:bCs/>
        </w:rPr>
      </w:pPr>
    </w:p>
    <w:p w14:paraId="49867E92" w14:textId="030E16C1" w:rsidR="00053E63" w:rsidRPr="008F6416" w:rsidRDefault="00BC0831" w:rsidP="00053E63">
      <w:pPr>
        <w:pStyle w:val="SemEspaamento"/>
        <w:rPr>
          <w:b/>
          <w:bCs/>
          <w:sz w:val="28"/>
          <w:szCs w:val="28"/>
        </w:rPr>
      </w:pPr>
      <w:r w:rsidRPr="008F6416">
        <w:rPr>
          <w:b/>
          <w:bCs/>
          <w:color w:val="C00000"/>
          <w:sz w:val="28"/>
          <w:szCs w:val="28"/>
          <w:u w:val="single"/>
        </w:rPr>
        <w:t>Destaques</w:t>
      </w:r>
      <w:r w:rsidRPr="008F6416">
        <w:rPr>
          <w:b/>
          <w:bCs/>
          <w:sz w:val="28"/>
          <w:szCs w:val="28"/>
        </w:rPr>
        <w:t xml:space="preserve"> | </w:t>
      </w:r>
      <w:r w:rsidR="00053E63" w:rsidRPr="008F6416">
        <w:rPr>
          <w:b/>
          <w:bCs/>
          <w:sz w:val="28"/>
          <w:szCs w:val="28"/>
          <w:highlight w:val="yellow"/>
        </w:rPr>
        <w:t>Safra 2024/25 (8ª Revisão) – Centro-Sul</w:t>
      </w:r>
    </w:p>
    <w:p w14:paraId="10B46FF2" w14:textId="77777777" w:rsidR="00BC0831" w:rsidRDefault="00BC0831" w:rsidP="00053E63">
      <w:pPr>
        <w:pStyle w:val="SemEspaamento"/>
      </w:pPr>
    </w:p>
    <w:p w14:paraId="47B280BA" w14:textId="2F182F13" w:rsidR="00053E63" w:rsidRDefault="00053E63" w:rsidP="00053E63">
      <w:pPr>
        <w:pStyle w:val="SemEspaamento"/>
      </w:pPr>
      <w:r w:rsidRPr="00BC0831">
        <w:rPr>
          <w:b/>
          <w:bCs/>
        </w:rPr>
        <w:t>Moagem acumulada:</w:t>
      </w:r>
      <w:r>
        <w:t xml:space="preserve"> 614,4 milhões de toneladas até </w:t>
      </w:r>
      <w:r w:rsidR="00A470C6">
        <w:t xml:space="preserve">primeira metade de </w:t>
      </w:r>
      <w:r>
        <w:t>fevereiro (-5% vs. 2023/24).</w:t>
      </w:r>
    </w:p>
    <w:p w14:paraId="260149AC" w14:textId="77777777" w:rsidR="00053E63" w:rsidRDefault="00053E63" w:rsidP="00053E63">
      <w:pPr>
        <w:pStyle w:val="SemEspaamento"/>
      </w:pPr>
      <w:r w:rsidRPr="00BC0831">
        <w:rPr>
          <w:b/>
          <w:bCs/>
        </w:rPr>
        <w:t>Produtividade e área colhida:</w:t>
      </w:r>
      <w:r>
        <w:t xml:space="preserve"> TCH médio de 78,5 </w:t>
      </w:r>
      <w:proofErr w:type="spellStart"/>
      <w:r>
        <w:t>ton</w:t>
      </w:r>
      <w:proofErr w:type="spellEnd"/>
      <w:r>
        <w:t>/ha; área colhida inflada pelo processamento de cana bisada.</w:t>
      </w:r>
    </w:p>
    <w:p w14:paraId="1A7406C1" w14:textId="77777777" w:rsidR="00053E63" w:rsidRDefault="00053E63" w:rsidP="00053E63">
      <w:pPr>
        <w:pStyle w:val="SemEspaamento"/>
      </w:pPr>
      <w:r w:rsidRPr="00BC0831">
        <w:rPr>
          <w:b/>
          <w:bCs/>
        </w:rPr>
        <w:t>Mix de açúcar:</w:t>
      </w:r>
      <w:r>
        <w:t xml:space="preserve"> 48% do mix destinado ao açúcar (-0,9 </w:t>
      </w:r>
      <w:proofErr w:type="spellStart"/>
      <w:r>
        <w:t>p.p</w:t>
      </w:r>
      <w:proofErr w:type="spellEnd"/>
      <w:r>
        <w:t>.), totalizando 40,0 milhões de toneladas (-5,6%).</w:t>
      </w:r>
    </w:p>
    <w:p w14:paraId="7033E796" w14:textId="5AD208D1" w:rsidR="00053E63" w:rsidRDefault="00053E63" w:rsidP="00053E63">
      <w:pPr>
        <w:pStyle w:val="SemEspaamento"/>
      </w:pPr>
      <w:r w:rsidRPr="00BC0831">
        <w:rPr>
          <w:b/>
          <w:bCs/>
        </w:rPr>
        <w:t>Etanol hidratado:</w:t>
      </w:r>
      <w:r>
        <w:t xml:space="preserve"> Vendas no mercado interno </w:t>
      </w:r>
      <w:r w:rsidR="00A470C6">
        <w:t>estimadas em</w:t>
      </w:r>
      <w:r>
        <w:t xml:space="preserve"> 21,6 milhões de m³ (+16% a/a), reduzindo estoques finais, mas mantendo volume relevante para 2025/26.</w:t>
      </w:r>
    </w:p>
    <w:p w14:paraId="12485EA8" w14:textId="77777777" w:rsidR="00053E63" w:rsidRDefault="00053E63" w:rsidP="00053E63">
      <w:pPr>
        <w:pStyle w:val="SemEspaamento"/>
      </w:pPr>
    </w:p>
    <w:p w14:paraId="7D63FB90" w14:textId="77777777" w:rsidR="00053E63" w:rsidRPr="007F5D4E" w:rsidRDefault="00053E63" w:rsidP="00053E63">
      <w:pPr>
        <w:pStyle w:val="SemEspaamento"/>
        <w:rPr>
          <w:b/>
          <w:bCs/>
          <w:sz w:val="28"/>
          <w:szCs w:val="28"/>
        </w:rPr>
      </w:pPr>
      <w:r w:rsidRPr="007F5D4E">
        <w:rPr>
          <w:b/>
          <w:bCs/>
          <w:sz w:val="28"/>
          <w:szCs w:val="28"/>
        </w:rPr>
        <w:t>Material completo:</w:t>
      </w:r>
    </w:p>
    <w:p w14:paraId="016A001E" w14:textId="77777777" w:rsidR="00673F8C" w:rsidRDefault="00673F8C" w:rsidP="00673F8C">
      <w:pPr>
        <w:pStyle w:val="SemEspaamento"/>
      </w:pPr>
    </w:p>
    <w:p w14:paraId="678D6AD9" w14:textId="04D0686A" w:rsidR="00673F8C" w:rsidRPr="00673F8C" w:rsidRDefault="00673F8C" w:rsidP="00673F8C">
      <w:pPr>
        <w:pStyle w:val="SemEspaamento"/>
        <w:rPr>
          <w:b/>
          <w:bCs/>
          <w:highlight w:val="yellow"/>
        </w:rPr>
      </w:pPr>
      <w:r w:rsidRPr="00673F8C">
        <w:rPr>
          <w:b/>
          <w:bCs/>
          <w:highlight w:val="yellow"/>
        </w:rPr>
        <w:t>3ª Revisão para a safra 2025/26 (</w:t>
      </w:r>
      <w:proofErr w:type="spellStart"/>
      <w:r w:rsidRPr="00673F8C">
        <w:rPr>
          <w:b/>
          <w:bCs/>
          <w:highlight w:val="yellow"/>
        </w:rPr>
        <w:t>abr-mar</w:t>
      </w:r>
      <w:proofErr w:type="spellEnd"/>
      <w:r w:rsidRPr="00673F8C">
        <w:rPr>
          <w:b/>
          <w:bCs/>
          <w:highlight w:val="yellow"/>
        </w:rPr>
        <w:t>) no Centro-Sul</w:t>
      </w:r>
    </w:p>
    <w:p w14:paraId="50257F10" w14:textId="77777777" w:rsidR="00673F8C" w:rsidRPr="00673F8C" w:rsidRDefault="00673F8C" w:rsidP="00673F8C">
      <w:pPr>
        <w:pStyle w:val="SemEspaamento"/>
      </w:pPr>
      <w:r w:rsidRPr="00673F8C">
        <w:t>As chuvas em janeiro e fevereiro somaram apenas 223,4 mm, ponderando pelas áreas canavieiras do Centro-Sul (CS), um dos piores volumes já registrados na série histórica – sendo 35% abaixo da média. O cenário nesses últimos dois meses é praticamente o oposto de novembro-dezembro, bimestre que registrou precipitações 8% acima da normalidade.</w:t>
      </w:r>
    </w:p>
    <w:p w14:paraId="49885CBB" w14:textId="23B1B97C" w:rsidR="00673F8C" w:rsidRPr="00673F8C" w:rsidRDefault="00673F8C" w:rsidP="00673F8C">
      <w:pPr>
        <w:pStyle w:val="SemEspaamento"/>
      </w:pPr>
      <w:r w:rsidRPr="00673F8C">
        <w:lastRenderedPageBreak/>
        <w:t xml:space="preserve">Na virada do ano, boa parte do déficit hídrico encontrado ao longo do seco 2024 havia sido recuperado com as boas chuvas, aliadas </w:t>
      </w:r>
      <w:proofErr w:type="gramStart"/>
      <w:r w:rsidR="00053E63" w:rsidRPr="00673F8C">
        <w:t>à</w:t>
      </w:r>
      <w:proofErr w:type="gramEnd"/>
      <w:r w:rsidRPr="00673F8C">
        <w:t xml:space="preserve"> dias ensolarados que estimulam a fotossíntese das plantas.  Ainda no começo de janeiro, umidade do solo e os indicadores de saúde da vegetação nas regiões de cana no CS se encontravam em níveis adequados e acima da média histórica.</w:t>
      </w:r>
    </w:p>
    <w:p w14:paraId="0F5A5C8F" w14:textId="77777777" w:rsidR="00673F8C" w:rsidRPr="00673F8C" w:rsidRDefault="00673F8C" w:rsidP="00673F8C">
      <w:pPr>
        <w:pStyle w:val="SemEspaamento"/>
      </w:pPr>
      <w:r w:rsidRPr="00673F8C">
        <w:t>Após a diminuição significativa do volume de precipitações no primeiro bimestre de 2025, houve piora de alguns índices, com destaque para a umidade do solo, que apresenta queda e já se encontra abaixo da média em algumas regiões. Enfrentando temperaturas elevadas e alta incidência solar, a ausência de chuvas nos canaviais estimula a evapotranspiração e, assim, diminui a quantidade de água nos solos. Principalmente para áreas ainda em fase inicial de crescimento, esse fator pode ser negativo em termos de TCH.</w:t>
      </w:r>
    </w:p>
    <w:p w14:paraId="06E1FE7B" w14:textId="7A0DB4E8" w:rsidR="00673F8C" w:rsidRDefault="00673F8C" w:rsidP="00673F8C">
      <w:pPr>
        <w:pStyle w:val="SemEspaamento"/>
      </w:pPr>
      <w:r w:rsidRPr="00673F8C">
        <w:t xml:space="preserve">Ainda é cedo para esperar cenários mais catastróficos, afinal, se teve um excelente início de entressafra em termos climáticos. Outros indicadores, como por exemplo o NDVI, seguem </w:t>
      </w:r>
      <w:r w:rsidR="00053E63" w:rsidRPr="00673F8C">
        <w:t>adequados,</w:t>
      </w:r>
      <w:r w:rsidRPr="00673F8C">
        <w:t xml:space="preserve"> mas, por hora, o contexto atual de chuvas limita maiores ganhos e justifica o leve ajuste realizado pela StoneX em termos de moagem, de 611,4 </w:t>
      </w:r>
      <w:proofErr w:type="spellStart"/>
      <w:r w:rsidRPr="00673F8C">
        <w:t>MMt</w:t>
      </w:r>
      <w:proofErr w:type="spellEnd"/>
      <w:r w:rsidRPr="00673F8C">
        <w:t xml:space="preserve"> para 608,5 </w:t>
      </w:r>
      <w:proofErr w:type="spellStart"/>
      <w:r w:rsidRPr="00673F8C">
        <w:t>MMt</w:t>
      </w:r>
      <w:proofErr w:type="spellEnd"/>
      <w:r w:rsidRPr="00673F8C">
        <w:t xml:space="preserve"> em 2025/26.</w:t>
      </w:r>
    </w:p>
    <w:p w14:paraId="6366BDF6" w14:textId="2DE205A5" w:rsidR="00673F8C" w:rsidRPr="00673F8C" w:rsidRDefault="00673F8C" w:rsidP="00673F8C">
      <w:pPr>
        <w:pStyle w:val="SemEspaamento"/>
      </w:pPr>
      <w:r w:rsidRPr="00673F8C">
        <w:t>Nos últimos dias, as previsões para março melhoraram em termos de chuva, com um acumulado que pode ficar</w:t>
      </w:r>
      <w:r>
        <w:t xml:space="preserve"> </w:t>
      </w:r>
      <w:r w:rsidRPr="00673F8C">
        <w:t>acima da média, caso os volumes se realizem. No geral, as precipitações ainda devem ser mais esparsas e mantém-se a expectativa de início adiantado do próximo ciclo – que pode ser adiado caso as chuvas ganhem força.</w:t>
      </w:r>
    </w:p>
    <w:p w14:paraId="126FE1D0" w14:textId="7792842B" w:rsidR="00673F8C" w:rsidRDefault="00673F8C" w:rsidP="00673F8C">
      <w:pPr>
        <w:pStyle w:val="SemEspaamento"/>
      </w:pPr>
      <w:r w:rsidRPr="00673F8C">
        <w:t>Similarmente ao ciclo 2024/25, devido ao tempo majoritariamente seco no primeiro trimestre deste ano, o começo da temporada 2025/26 pode receber uma cana mais pobre em ATR e em qualidade, devendo o mix ser um pouco menos açucareiro no período do que o potencial para toda a temporada – elevando a oferta de etanol já em março.</w:t>
      </w:r>
    </w:p>
    <w:p w14:paraId="1D3C9363" w14:textId="7AE21B98" w:rsidR="00673F8C" w:rsidRPr="00673F8C" w:rsidRDefault="00673F8C" w:rsidP="00673F8C">
      <w:pPr>
        <w:pStyle w:val="SemEspaamento"/>
      </w:pPr>
      <w:r w:rsidRPr="00673F8C">
        <w:t xml:space="preserve">O prognóstico para o TCH segue otimista, ao passo que novembro e dezembro trouxeram boa recuperação da situação hídrica. Contudo, o cenário esperado em janeiro mudou, principalmente do lado climático – que será discutido posteriormente. O número estimado para a produtividade, respondendo à queda nas chuvas, teve corte sutil de 79,4 </w:t>
      </w:r>
      <w:proofErr w:type="spellStart"/>
      <w:r w:rsidRPr="00673F8C">
        <w:t>ton</w:t>
      </w:r>
      <w:proofErr w:type="spellEnd"/>
      <w:r w:rsidRPr="00673F8C">
        <w:t xml:space="preserve">/há para 71,9 </w:t>
      </w:r>
      <w:proofErr w:type="spellStart"/>
      <w:r w:rsidRPr="00673F8C">
        <w:t>ton</w:t>
      </w:r>
      <w:proofErr w:type="spellEnd"/>
      <w:r w:rsidRPr="00673F8C">
        <w:t>/</w:t>
      </w:r>
      <w:proofErr w:type="spellStart"/>
      <w:r w:rsidRPr="00673F8C">
        <w:t>ha</w:t>
      </w:r>
      <w:proofErr w:type="spellEnd"/>
      <w:r w:rsidRPr="00673F8C">
        <w:t>, ainda maior no comparativo com 2024/25.</w:t>
      </w:r>
    </w:p>
    <w:p w14:paraId="37EF07BE" w14:textId="77777777" w:rsidR="00673F8C" w:rsidRPr="00673F8C" w:rsidRDefault="00673F8C" w:rsidP="00673F8C">
      <w:pPr>
        <w:pStyle w:val="SemEspaamento"/>
      </w:pPr>
      <w:r w:rsidRPr="00673F8C">
        <w:t xml:space="preserve">Exercendo um contrafactual, caso este primeiro trimestre de 2025 mantivesse o ritmo de precipitação observado no final do ano passado, o TCH poderia se expandir para níveis ainda maiores, acima de 80 </w:t>
      </w:r>
      <w:proofErr w:type="spellStart"/>
      <w:r w:rsidRPr="00673F8C">
        <w:t>ton</w:t>
      </w:r>
      <w:proofErr w:type="spellEnd"/>
      <w:r w:rsidRPr="00673F8C">
        <w:t xml:space="preserve">/ha ou até próximo de 82 </w:t>
      </w:r>
      <w:proofErr w:type="spellStart"/>
      <w:r w:rsidRPr="00673F8C">
        <w:t>ton</w:t>
      </w:r>
      <w:proofErr w:type="spellEnd"/>
      <w:r w:rsidRPr="00673F8C">
        <w:t>/ha – patamares similares a 2015/16, mas que já se tornam improváveis.</w:t>
      </w:r>
    </w:p>
    <w:p w14:paraId="2899978C" w14:textId="6808E880" w:rsidR="00673F8C" w:rsidRDefault="00673F8C" w:rsidP="00673F8C">
      <w:pPr>
        <w:pStyle w:val="SemEspaamento"/>
      </w:pPr>
      <w:r w:rsidRPr="00673F8C">
        <w:t>Ainda, a área colhida permanece em tendência de queda vide impacto das queimadas e pelo fechamento “inflado” de 2024/25 dado o excesso de cana bisada. Portanto, a StoneX revisou a moagem em 2025/26, de 611,4 para 608,5 milhões de toneladas, queda anual de 2%, mas ainda quarta maior cifra da história.</w:t>
      </w:r>
    </w:p>
    <w:p w14:paraId="2E47D8C3" w14:textId="77777777" w:rsidR="00673F8C" w:rsidRDefault="00673F8C" w:rsidP="00673F8C">
      <w:pPr>
        <w:pStyle w:val="SemEspaamento"/>
      </w:pPr>
    </w:p>
    <w:p w14:paraId="3F2D3BB4" w14:textId="3137C754" w:rsidR="00673F8C" w:rsidRPr="00673F8C" w:rsidRDefault="00673F8C" w:rsidP="00673F8C">
      <w:pPr>
        <w:pStyle w:val="SemEspaamento"/>
        <w:rPr>
          <w:b/>
          <w:bCs/>
          <w:highlight w:val="yellow"/>
        </w:rPr>
      </w:pPr>
      <w:r w:rsidRPr="00673F8C">
        <w:rPr>
          <w:b/>
          <w:bCs/>
          <w:highlight w:val="yellow"/>
        </w:rPr>
        <w:t>Análise climática</w:t>
      </w:r>
    </w:p>
    <w:p w14:paraId="13839A14" w14:textId="1136329A" w:rsidR="00673F8C" w:rsidRPr="00673F8C" w:rsidRDefault="00673F8C" w:rsidP="00673F8C">
      <w:pPr>
        <w:pStyle w:val="SemEspaamento"/>
      </w:pPr>
      <w:r w:rsidRPr="00673F8C">
        <w:t xml:space="preserve">Além do volume de chuvas, outros indicadores são importantes como base para a análise da situação atual da cana-de-açúcar. Como já mencionado, assim como </w:t>
      </w:r>
      <w:r w:rsidRPr="00673F8C">
        <w:lastRenderedPageBreak/>
        <w:t>foi todo o ano de 2024, o começo de 2025 enfrenta temperaturas acima da média histórica em todo Centro-Sul.</w:t>
      </w:r>
    </w:p>
    <w:p w14:paraId="3ABA9ED3" w14:textId="77777777" w:rsidR="00673F8C" w:rsidRPr="00673F8C" w:rsidRDefault="00673F8C" w:rsidP="00673F8C">
      <w:pPr>
        <w:pStyle w:val="SemEspaamento"/>
      </w:pPr>
      <w:r w:rsidRPr="00673F8C">
        <w:t>Aliada a seca, as altas temperaturas aceleram o processo de evapotranspiração, o que já vem sendo refletido pelos indicadores de umidade do solo – no final do ano, se posicionavam acima da média, ganhando forte recuperação entre setembro e dezembro, e hoje, já se encontram moderadamente abaixo da normalidade.</w:t>
      </w:r>
    </w:p>
    <w:p w14:paraId="0AC400DB" w14:textId="246BC8EA" w:rsidR="00673F8C" w:rsidRDefault="00673F8C" w:rsidP="00673F8C">
      <w:pPr>
        <w:pStyle w:val="SemEspaamento"/>
      </w:pPr>
      <w:r w:rsidRPr="00673F8C">
        <w:t>Apesar do cenário, os níveis de NDVI (que mede a saúde e a densidade da vegetação) continuam em patamares elevados e acima da média, ao contrário de 2014, por exemplo, quando, em um contexto de seca parecido, já via NDVI em 0,65 – contra 0,7 na normalidade e 0,74 sendo observado este ano. A resiliência do NDVI pode indicar que, de fato, ainda há cenário positivo para o TCH em 2025.</w:t>
      </w:r>
    </w:p>
    <w:p w14:paraId="1DC0DC35" w14:textId="77777777" w:rsidR="00673F8C" w:rsidRPr="00673F8C" w:rsidRDefault="00673F8C" w:rsidP="00673F8C">
      <w:pPr>
        <w:pStyle w:val="SemEspaamento"/>
      </w:pPr>
      <w:r w:rsidRPr="00673F8C">
        <w:t>A desaceleração das chuvas no início de 2025 não foi o bastante para trazer um tom pessimista para o Centro-Sul em 2025/26. Isso porque a visão de que haverá “caminho aberto” para as usinas maximizarem o mix açucareiro em 2025/26 permanece, sendo ele estimado na casa de 51%.</w:t>
      </w:r>
    </w:p>
    <w:p w14:paraId="0ACCAEDB" w14:textId="77777777" w:rsidR="00673F8C" w:rsidRPr="00673F8C" w:rsidRDefault="00673F8C" w:rsidP="00673F8C">
      <w:pPr>
        <w:pStyle w:val="SemEspaamento"/>
      </w:pPr>
      <w:r w:rsidRPr="00673F8C">
        <w:t>Já no final de fevereiro, a StoneX estima que 62% da safra 2025/26 esteja fixada, tendo as usinas (ou parte delas) aproveitado a volatilidade do mercado em NY, especialmente de agosto a outubro de 2024 e nos primeiros meses de 2025. A escalada do dólar no ano passado também gerou oportunidades para fixação das exportações de açúcar.</w:t>
      </w:r>
    </w:p>
    <w:p w14:paraId="695CB39D" w14:textId="77777777" w:rsidR="00673F8C" w:rsidRPr="00673F8C" w:rsidRDefault="00673F8C" w:rsidP="00673F8C">
      <w:pPr>
        <w:pStyle w:val="SemEspaamento"/>
      </w:pPr>
      <w:r w:rsidRPr="00673F8C">
        <w:t>O clima mais seco do que o normal, embora limite o ganho de TCH, tende a propiciar um ATR melhor, que foi revisado para cima nesta nova estimativa – para 141,1 kg/</w:t>
      </w:r>
      <w:proofErr w:type="spellStart"/>
      <w:r w:rsidRPr="00673F8C">
        <w:t>ton</w:t>
      </w:r>
      <w:proofErr w:type="spellEnd"/>
      <w:r w:rsidRPr="00673F8C">
        <w:t>, sútil alta anual. Em 2025, é esperado um comportamento mais dentro da média para o indicador, que foi bastante prejudicado em 2024 pela instabilidade climática e pelas queimadas.</w:t>
      </w:r>
    </w:p>
    <w:p w14:paraId="246386BF" w14:textId="77777777" w:rsidR="00673F8C" w:rsidRPr="00673F8C" w:rsidRDefault="00673F8C" w:rsidP="00673F8C">
      <w:pPr>
        <w:pStyle w:val="SemEspaamento"/>
      </w:pPr>
      <w:r w:rsidRPr="00673F8C">
        <w:t>Nesse contexto, a produção de açúcar foi revisada de 41,5 para 41,7 milhões de toneladas, aumento de 4,2% em relação a 2024/25. De acordo com as perspectivas, dependendo das dinâmicas no setor de combustíveis, o espaço para mix e quantidade total de açúcar pode ser ainda maior – o que é ainda cedo para concluir.</w:t>
      </w:r>
    </w:p>
    <w:p w14:paraId="1BCFC5E4" w14:textId="5E4CF1DB" w:rsidR="00673F8C" w:rsidRDefault="00887363" w:rsidP="00673F8C">
      <w:pPr>
        <w:pStyle w:val="SemEspaamento"/>
      </w:pPr>
      <w:r w:rsidRPr="00673F8C">
        <w:t>A estimativa para as exportações de açúcar no CS fica</w:t>
      </w:r>
      <w:r w:rsidR="00673F8C" w:rsidRPr="00673F8C">
        <w:t xml:space="preserve"> ao redor de 32,9 milhões de toneladas em 2025/26. Com a entrada da safra, os volumes de embarque irão crescer, concentrando-se entre maio e outubro. Dessa forma, o trade </w:t>
      </w:r>
      <w:proofErr w:type="spellStart"/>
      <w:r w:rsidR="00673F8C" w:rsidRPr="00673F8C">
        <w:t>flow</w:t>
      </w:r>
      <w:proofErr w:type="spellEnd"/>
      <w:r w:rsidR="00673F8C" w:rsidRPr="00673F8C">
        <w:t xml:space="preserve"> de açúcar terá elevada presença do açúcar bruto brasileiro no terceiro trimestre do ano, já desenhando uma trajetória mais baixista no médio prazo em NY.</w:t>
      </w:r>
    </w:p>
    <w:p w14:paraId="09B63300" w14:textId="77777777" w:rsidR="00673F8C" w:rsidRPr="00673F8C" w:rsidRDefault="00673F8C" w:rsidP="00673F8C">
      <w:pPr>
        <w:pStyle w:val="SemEspaamento"/>
      </w:pPr>
      <w:r w:rsidRPr="00673F8C">
        <w:t>O mercado de etanol em 2025/26 tende a um cenário de menor demanda no comparativo com 2024/25. Isso porque, já no final de fevereiro, a paridade nas bombas estava fechada para o hidratado em algumas regiões do CS, como Goiás e Minas Gerais – e em São Paulo, se encontra ao redor de 68%.</w:t>
      </w:r>
    </w:p>
    <w:p w14:paraId="2DCF3BE7" w14:textId="77777777" w:rsidR="00673F8C" w:rsidRPr="00673F8C" w:rsidRDefault="00673F8C" w:rsidP="00673F8C">
      <w:pPr>
        <w:pStyle w:val="SemEspaamento"/>
      </w:pPr>
      <w:r w:rsidRPr="00673F8C">
        <w:t>Ao contrário do ano passado, o ciclo já iniciará com preços mais caros para o etanol, devendo sim apresentar queda ao longo do ano com a entrada da colheita de cana, mas com uma tendência de fortalecimento do consumo de gasolina comum a partir do início da entressafra.</w:t>
      </w:r>
    </w:p>
    <w:p w14:paraId="0239E088" w14:textId="77777777" w:rsidR="00673F8C" w:rsidRPr="00673F8C" w:rsidRDefault="00673F8C" w:rsidP="00673F8C">
      <w:pPr>
        <w:pStyle w:val="SemEspaamento"/>
      </w:pPr>
      <w:r w:rsidRPr="00673F8C">
        <w:t>Os estoques de passagem, por sua vez, ainda permanecem na tendência de finalizar 2024/25 acima da média histórica, limitando maiores altas para o álcool principalmente neste mês de março – mantendo também o consumo (embora em queda) ainda robusto na safra 2025/26.</w:t>
      </w:r>
    </w:p>
    <w:p w14:paraId="016780EA" w14:textId="77777777" w:rsidR="00673F8C" w:rsidRPr="00673F8C" w:rsidRDefault="00673F8C" w:rsidP="00673F8C">
      <w:pPr>
        <w:pStyle w:val="SemEspaamento"/>
      </w:pPr>
      <w:r w:rsidRPr="00673F8C">
        <w:lastRenderedPageBreak/>
        <w:t>A produção total do biocombustível deve chegar a 34,5 milhões de m³ na nova safra, uma queda de 2%. O que pode estimular a sua oferta este ano é a esperada aprovação do aumento da mistura do anidro na gasolina de 27% para 30%, - a data de início da medida ainda permanece incerta, entretanto.</w:t>
      </w:r>
    </w:p>
    <w:p w14:paraId="734AC153" w14:textId="7AC92F04" w:rsidR="00673F8C" w:rsidRDefault="00673F8C" w:rsidP="00673F8C">
      <w:pPr>
        <w:pStyle w:val="SemEspaamento"/>
      </w:pPr>
      <w:r w:rsidRPr="00673F8C">
        <w:t>Por fim, já no início da safra 2025/26, a capacidade de produção do etanol de milho deve ser de 10,3 milhões de m³/ano. A previsão da ANP é de que, no período que compõe o próximo ciclo, haverá a entrada de novas usinas e de uma capacidade ao redor de 600 mil m³ anuais – além da ampliação de outras unidades. Com isso, a StoneX estima 9,8 milhões de m³ do álcool de milho.</w:t>
      </w:r>
    </w:p>
    <w:p w14:paraId="32317F4A" w14:textId="77777777" w:rsidR="00673F8C" w:rsidRDefault="00673F8C" w:rsidP="00673F8C">
      <w:pPr>
        <w:pStyle w:val="SemEspaamento"/>
      </w:pPr>
    </w:p>
    <w:p w14:paraId="31E736BD" w14:textId="06575394" w:rsidR="00673F8C" w:rsidRPr="00673F8C" w:rsidRDefault="00673F8C" w:rsidP="00673F8C">
      <w:pPr>
        <w:pStyle w:val="SemEspaamento"/>
        <w:rPr>
          <w:b/>
          <w:bCs/>
        </w:rPr>
      </w:pPr>
      <w:r w:rsidRPr="00673F8C">
        <w:rPr>
          <w:b/>
          <w:bCs/>
          <w:highlight w:val="yellow"/>
        </w:rPr>
        <w:t>8ª Revisão para a safra 2024/25 (</w:t>
      </w:r>
      <w:proofErr w:type="spellStart"/>
      <w:r w:rsidRPr="00673F8C">
        <w:rPr>
          <w:b/>
          <w:bCs/>
          <w:highlight w:val="yellow"/>
        </w:rPr>
        <w:t>abr-mar</w:t>
      </w:r>
      <w:proofErr w:type="spellEnd"/>
      <w:r w:rsidRPr="00673F8C">
        <w:rPr>
          <w:b/>
          <w:bCs/>
          <w:highlight w:val="yellow"/>
        </w:rPr>
        <w:t>) no Centro-Sul</w:t>
      </w:r>
    </w:p>
    <w:p w14:paraId="26FE3DD5" w14:textId="77777777" w:rsidR="00673F8C" w:rsidRPr="00673F8C" w:rsidRDefault="00673F8C" w:rsidP="00673F8C">
      <w:pPr>
        <w:pStyle w:val="SemEspaamento"/>
      </w:pPr>
      <w:r w:rsidRPr="00673F8C">
        <w:t xml:space="preserve">Até a primeira metade de fevereiro, o Centro-Sul em 2024/25 já acumulava 614,4 milhões de toneladas, 5% abaixo de 2023/24 – safra que foi recorde. Quase finalizada, são poucas as variáveis que mudarão daqui para frente para o ciclo corrente, que se direciona para o patamar acima das 620 </w:t>
      </w:r>
      <w:proofErr w:type="spellStart"/>
      <w:r w:rsidRPr="00673F8C">
        <w:t>MMt</w:t>
      </w:r>
      <w:proofErr w:type="spellEnd"/>
      <w:r w:rsidRPr="00673F8C">
        <w:t>.</w:t>
      </w:r>
    </w:p>
    <w:p w14:paraId="0296CCBB" w14:textId="4F498509" w:rsidR="00673F8C" w:rsidRPr="00673F8C" w:rsidRDefault="00673F8C" w:rsidP="00673F8C">
      <w:pPr>
        <w:pStyle w:val="SemEspaamento"/>
      </w:pPr>
      <w:r w:rsidRPr="00673F8C">
        <w:t>Em março, o tempo seco acelera o início da temporada em boa parte das unidades do CS, o que pode depender se as previsões um pouco melhores para a segunda metade do mês se materializarem. Se em meados de novembro as boas chuvas e previsões positivas para os meses seguintes pareciam indicar pouca moagem em março, as atuais condições climáticas apontam para um cenário marginalmente acima da média, e a StoneX espera que o mês tenha 6,5 milhões de toneladas de cana moída.</w:t>
      </w:r>
    </w:p>
    <w:p w14:paraId="6E38C5D2" w14:textId="77777777" w:rsidR="00673F8C" w:rsidRPr="00673F8C" w:rsidRDefault="00673F8C" w:rsidP="00673F8C">
      <w:pPr>
        <w:pStyle w:val="SemEspaamento"/>
      </w:pPr>
      <w:r w:rsidRPr="00673F8C">
        <w:t xml:space="preserve">No total da temporada, a moagem tende a um volume de 621,2 </w:t>
      </w:r>
      <w:proofErr w:type="spellStart"/>
      <w:r w:rsidRPr="00673F8C">
        <w:t>MMt</w:t>
      </w:r>
      <w:proofErr w:type="spellEnd"/>
      <w:r w:rsidRPr="00673F8C">
        <w:t xml:space="preserve">, com um TCH médio de 78,5 </w:t>
      </w:r>
      <w:proofErr w:type="spellStart"/>
      <w:r w:rsidRPr="00673F8C">
        <w:t>ton</w:t>
      </w:r>
      <w:proofErr w:type="spellEnd"/>
      <w:r w:rsidRPr="00673F8C">
        <w:t xml:space="preserve">/ha e cerca de 7,9 milhões de hectares colhidos. Importante retomar, a área colhida foi relativamente “inflada”, ao passo que até julho/agosto, volume atípico de cana bisada foi processado. Ainda, já em janeiro, estimamos que a idade média do canavial, elevada em 2024/25, contribuiu para um ganho de 1,5 </w:t>
      </w:r>
      <w:proofErr w:type="spellStart"/>
      <w:r w:rsidRPr="00673F8C">
        <w:t>ton</w:t>
      </w:r>
      <w:proofErr w:type="spellEnd"/>
      <w:r w:rsidRPr="00673F8C">
        <w:t>/ha.</w:t>
      </w:r>
    </w:p>
    <w:p w14:paraId="130A09B9" w14:textId="77777777" w:rsidR="00673F8C" w:rsidRPr="00673F8C" w:rsidRDefault="00673F8C" w:rsidP="00673F8C">
      <w:pPr>
        <w:pStyle w:val="SemEspaamento"/>
      </w:pPr>
      <w:r w:rsidRPr="00673F8C">
        <w:t xml:space="preserve">Em termos de mix, a proporção direcionada ao açúcar deve terminar em 48%, queda de 0,9%. Notoriamente, o mix açucareiro termina bem abaixo do potencial, uma vez que a elevada quantidade de impurezas na cana (refletindo o clima negativo entre </w:t>
      </w:r>
      <w:proofErr w:type="spellStart"/>
      <w:r w:rsidRPr="00673F8C">
        <w:t>nov</w:t>
      </w:r>
      <w:proofErr w:type="spellEnd"/>
      <w:r w:rsidRPr="00673F8C">
        <w:t xml:space="preserve">/23 e mar/24) foi entrave para a fabricação de açúcar – que deve terminar em 40,0 </w:t>
      </w:r>
      <w:proofErr w:type="spellStart"/>
      <w:r w:rsidRPr="00673F8C">
        <w:t>MMt</w:t>
      </w:r>
      <w:proofErr w:type="spellEnd"/>
      <w:r w:rsidRPr="00673F8C">
        <w:t xml:space="preserve"> (-5,6%).</w:t>
      </w:r>
    </w:p>
    <w:p w14:paraId="57B14CB3" w14:textId="0323AF24" w:rsidR="00673F8C" w:rsidRDefault="00673F8C" w:rsidP="00673F8C">
      <w:pPr>
        <w:pStyle w:val="SemEspaamento"/>
      </w:pPr>
      <w:r w:rsidRPr="00673F8C">
        <w:t>Destaca-se o elevado volume de vendas de etanol hidratado na região, respondendo à robusta vantagem do biocombustível nas bombas. As saídas ao mercado interno são estimadas em 21,6 milhões de m³, alta anual de quase 16%, propiciando uma queda dos estoques finais em 2024/25 – mas que ainda ficarão, como trazido, acima da média, trazendo uma perspectiva de queda na demanda no próximo ciclo, porém ainda com volume relevante.</w:t>
      </w:r>
    </w:p>
    <w:p w14:paraId="528C9840" w14:textId="77777777" w:rsidR="002C340A" w:rsidRDefault="002C340A" w:rsidP="00673F8C">
      <w:pPr>
        <w:pStyle w:val="SemEspaamento"/>
      </w:pPr>
    </w:p>
    <w:p w14:paraId="00829BBB" w14:textId="77777777" w:rsidR="002C340A" w:rsidRDefault="002C340A" w:rsidP="00673F8C">
      <w:pPr>
        <w:pStyle w:val="SemEspaamento"/>
      </w:pPr>
    </w:p>
    <w:p w14:paraId="7EB41AA8" w14:textId="77777777" w:rsidR="002C340A" w:rsidRDefault="002C340A" w:rsidP="00673F8C">
      <w:pPr>
        <w:pStyle w:val="SemEspaamento"/>
      </w:pPr>
    </w:p>
    <w:p w14:paraId="79AE747D" w14:textId="77777777" w:rsidR="002C340A" w:rsidRDefault="002C340A" w:rsidP="00673F8C">
      <w:pPr>
        <w:pStyle w:val="SemEspaamento"/>
      </w:pPr>
    </w:p>
    <w:p w14:paraId="0DD672AE" w14:textId="77777777" w:rsidR="002C340A" w:rsidRDefault="002C340A" w:rsidP="00673F8C">
      <w:pPr>
        <w:pStyle w:val="SemEspaamento"/>
      </w:pPr>
    </w:p>
    <w:p w14:paraId="759553D7" w14:textId="77777777" w:rsidR="002C340A" w:rsidRDefault="002C340A" w:rsidP="00673F8C">
      <w:pPr>
        <w:pStyle w:val="SemEspaamento"/>
      </w:pPr>
    </w:p>
    <w:p w14:paraId="46AEB38E" w14:textId="77777777" w:rsidR="002C340A" w:rsidRDefault="002C340A" w:rsidP="00673F8C">
      <w:pPr>
        <w:pStyle w:val="SemEspaamento"/>
      </w:pPr>
    </w:p>
    <w:p w14:paraId="100DB481" w14:textId="77777777" w:rsidR="002C340A" w:rsidRDefault="002C340A" w:rsidP="00673F8C">
      <w:pPr>
        <w:pStyle w:val="SemEspaamento"/>
      </w:pPr>
    </w:p>
    <w:p w14:paraId="3A2607B4" w14:textId="36AAD32B" w:rsidR="002C340A" w:rsidRDefault="002C340A" w:rsidP="00673F8C">
      <w:pPr>
        <w:pStyle w:val="SemEspaamento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C91F65F" wp14:editId="29B5A3D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04510" cy="4722495"/>
            <wp:effectExtent l="0" t="0" r="0" b="1905"/>
            <wp:wrapSquare wrapText="bothSides"/>
            <wp:docPr id="1005171601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71601" name="Imagem 1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r="2685"/>
                    <a:stretch/>
                  </pic:blipFill>
                  <pic:spPr bwMode="auto">
                    <a:xfrm>
                      <a:off x="0" y="0"/>
                      <a:ext cx="5604510" cy="47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9676B" w14:textId="19D0065D" w:rsidR="002C340A" w:rsidRDefault="002C340A" w:rsidP="00673F8C">
      <w:pPr>
        <w:pStyle w:val="SemEspaamento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5EBE858" wp14:editId="6DEF8238">
            <wp:simplePos x="0" y="0"/>
            <wp:positionH relativeFrom="margin">
              <wp:align>center</wp:align>
            </wp:positionH>
            <wp:positionV relativeFrom="margin">
              <wp:posOffset>5215448</wp:posOffset>
            </wp:positionV>
            <wp:extent cx="5834380" cy="3139440"/>
            <wp:effectExtent l="0" t="0" r="0" b="3810"/>
            <wp:wrapSquare wrapText="bothSides"/>
            <wp:docPr id="333296721" name="Imagem 2" descr="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96721" name="Imagem 2" descr="Gráfi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6D44A3" w14:textId="28B09850" w:rsidR="002C340A" w:rsidRDefault="002C340A" w:rsidP="00673F8C">
      <w:pPr>
        <w:pStyle w:val="SemEspaamento"/>
      </w:pPr>
    </w:p>
    <w:p w14:paraId="58C16337" w14:textId="59588750" w:rsidR="002C340A" w:rsidRDefault="002C340A" w:rsidP="00673F8C">
      <w:pPr>
        <w:pStyle w:val="SemEspaamento"/>
      </w:pPr>
    </w:p>
    <w:p w14:paraId="66331FB3" w14:textId="334E9DC3" w:rsidR="002C340A" w:rsidRDefault="002C340A" w:rsidP="00673F8C">
      <w:pPr>
        <w:pStyle w:val="SemEspaamento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C0F1AB8" wp14:editId="6A071CBA">
            <wp:simplePos x="0" y="0"/>
            <wp:positionH relativeFrom="margin">
              <wp:align>center</wp:align>
            </wp:positionH>
            <wp:positionV relativeFrom="margin">
              <wp:posOffset>4617858</wp:posOffset>
            </wp:positionV>
            <wp:extent cx="5796280" cy="4578985"/>
            <wp:effectExtent l="0" t="0" r="0" b="0"/>
            <wp:wrapSquare wrapText="bothSides"/>
            <wp:docPr id="48908260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457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C8083C4" wp14:editId="63FEAC8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80405" cy="4475480"/>
            <wp:effectExtent l="0" t="0" r="0" b="0"/>
            <wp:wrapSquare wrapText="bothSides"/>
            <wp:docPr id="41706476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447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0245F" w14:textId="3ECB7A0D" w:rsidR="002C340A" w:rsidRDefault="002C340A" w:rsidP="00673F8C">
      <w:pPr>
        <w:pStyle w:val="SemEspaamento"/>
      </w:pPr>
      <w:r w:rsidRPr="002C340A">
        <w:rPr>
          <w:noProof/>
        </w:rPr>
        <w:lastRenderedPageBreak/>
        <w:t xml:space="preserve"> </w: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98488F5" wp14:editId="595AB458">
            <wp:simplePos x="1080770" y="1089025"/>
            <wp:positionH relativeFrom="margin">
              <wp:align>center</wp:align>
            </wp:positionH>
            <wp:positionV relativeFrom="margin">
              <wp:align>top</wp:align>
            </wp:positionV>
            <wp:extent cx="5718810" cy="5114925"/>
            <wp:effectExtent l="0" t="0" r="0" b="0"/>
            <wp:wrapSquare wrapText="bothSides"/>
            <wp:docPr id="81253910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11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C34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8C"/>
    <w:rsid w:val="00053E63"/>
    <w:rsid w:val="00150792"/>
    <w:rsid w:val="002C340A"/>
    <w:rsid w:val="002E7CB4"/>
    <w:rsid w:val="00370D6C"/>
    <w:rsid w:val="00391D2F"/>
    <w:rsid w:val="00673F8C"/>
    <w:rsid w:val="0082353E"/>
    <w:rsid w:val="00887363"/>
    <w:rsid w:val="008F6416"/>
    <w:rsid w:val="00925F9A"/>
    <w:rsid w:val="00A470C6"/>
    <w:rsid w:val="00BC0831"/>
    <w:rsid w:val="00C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7C8E195"/>
  <w15:chartTrackingRefBased/>
  <w15:docId w15:val="{4330BD53-1DEA-48FC-B2DA-B3FCC296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3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3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3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3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3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3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3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3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3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3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3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3F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3F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3F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3F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3F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3F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3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3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3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3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3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3F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3F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3F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3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3F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3F8C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673F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1797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Barboza</dc:creator>
  <cp:keywords/>
  <dc:description/>
  <cp:lastModifiedBy>Carolina Barboza</cp:lastModifiedBy>
  <cp:revision>3</cp:revision>
  <dcterms:created xsi:type="dcterms:W3CDTF">2025-03-11T20:11:00Z</dcterms:created>
  <dcterms:modified xsi:type="dcterms:W3CDTF">2025-03-11T20:58:00Z</dcterms:modified>
</cp:coreProperties>
</file>